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C7FF4" w14:textId="77777777" w:rsidR="004331C8" w:rsidRPr="000E188B" w:rsidRDefault="004331C8" w:rsidP="004331C8">
      <w:pPr>
        <w:pStyle w:val="Heading1"/>
        <w:contextualSpacing/>
        <w:rPr>
          <w:rFonts w:ascii="Calibri" w:hAnsi="Calibri" w:cs="Calibri"/>
          <w:lang w:val="en-US"/>
        </w:rPr>
      </w:pPr>
    </w:p>
    <w:p w14:paraId="0BD89348" w14:textId="77777777" w:rsidR="004331C8" w:rsidRPr="000E188B" w:rsidRDefault="004331C8" w:rsidP="004331C8">
      <w:pPr>
        <w:pStyle w:val="Heading1"/>
        <w:contextualSpacing/>
        <w:rPr>
          <w:rFonts w:ascii="Calibri" w:hAnsi="Calibri" w:cs="Calibri"/>
          <w:lang w:val="en-US"/>
        </w:rPr>
      </w:pPr>
    </w:p>
    <w:p w14:paraId="213B9D91" w14:textId="339E25B8" w:rsidR="004331C8" w:rsidRPr="000E188B" w:rsidRDefault="000E188B" w:rsidP="004331C8">
      <w:pPr>
        <w:pStyle w:val="Heading1"/>
        <w:contextualSpacing/>
        <w:rPr>
          <w:rFonts w:ascii="Calibri" w:hAnsi="Calibri" w:cs="Calibri"/>
          <w:lang w:val="en-US"/>
        </w:rPr>
      </w:pPr>
      <w:bookmarkStart w:id="0" w:name="_Toc20304759"/>
      <w:bookmarkStart w:id="1" w:name="_Toc24557097"/>
      <w:r w:rsidRPr="000E188B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19DE95" wp14:editId="60898501">
            <wp:simplePos x="0" y="0"/>
            <wp:positionH relativeFrom="margin">
              <wp:align>left</wp:align>
            </wp:positionH>
            <wp:positionV relativeFrom="margin">
              <wp:posOffset>1202690</wp:posOffset>
            </wp:positionV>
            <wp:extent cx="1219200" cy="30035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T_EduDatalab_Logo_No_SL_on 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bookmarkEnd w:id="1"/>
    </w:p>
    <w:p w14:paraId="526050AA" w14:textId="77777777" w:rsidR="004331C8" w:rsidRPr="000E188B" w:rsidRDefault="004331C8" w:rsidP="004331C8">
      <w:pPr>
        <w:pStyle w:val="Heading1"/>
        <w:contextualSpacing/>
        <w:rPr>
          <w:rFonts w:ascii="Calibri" w:hAnsi="Calibri" w:cs="Calibri"/>
          <w:lang w:val="en-US"/>
        </w:rPr>
      </w:pPr>
    </w:p>
    <w:p w14:paraId="25D7D6E5" w14:textId="77777777" w:rsidR="000E188B" w:rsidRPr="000E188B" w:rsidRDefault="000E188B" w:rsidP="000E188B">
      <w:pPr>
        <w:rPr>
          <w:lang w:val="en-US"/>
        </w:rPr>
      </w:pPr>
    </w:p>
    <w:p w14:paraId="54BE2505" w14:textId="77777777" w:rsidR="000E188B" w:rsidRDefault="000E188B" w:rsidP="004331C8">
      <w:pPr>
        <w:pStyle w:val="Heading1"/>
        <w:contextualSpacing/>
        <w:rPr>
          <w:rFonts w:ascii="Calibri" w:hAnsi="Calibri" w:cs="Calibri"/>
          <w:b/>
          <w:lang w:val="en-US"/>
        </w:rPr>
      </w:pPr>
      <w:bookmarkStart w:id="2" w:name="_Toc20304755"/>
      <w:bookmarkStart w:id="3" w:name="_Toc24557093"/>
    </w:p>
    <w:p w14:paraId="1D9F0962" w14:textId="77777777" w:rsidR="000E188B" w:rsidRDefault="000E188B" w:rsidP="004331C8">
      <w:pPr>
        <w:pStyle w:val="Heading1"/>
        <w:contextualSpacing/>
        <w:rPr>
          <w:rFonts w:ascii="Calibri" w:hAnsi="Calibri" w:cs="Calibri"/>
          <w:b/>
          <w:lang w:val="en-US"/>
        </w:rPr>
      </w:pPr>
    </w:p>
    <w:p w14:paraId="3B5D6360" w14:textId="526143D4" w:rsidR="004331C8" w:rsidRPr="000E188B" w:rsidRDefault="007A6A2A" w:rsidP="004331C8">
      <w:pPr>
        <w:pStyle w:val="Heading1"/>
        <w:contextualSpacing/>
        <w:rPr>
          <w:rFonts w:ascii="Calibri" w:hAnsi="Calibri" w:cs="Calibri"/>
          <w:b/>
          <w:lang w:val="en-US"/>
        </w:rPr>
      </w:pPr>
      <w:r w:rsidRPr="000E188B">
        <w:rPr>
          <w:rFonts w:ascii="Calibri" w:hAnsi="Calibri" w:cs="Calibri"/>
          <w:b/>
          <w:lang w:val="en-US"/>
        </w:rPr>
        <w:t xml:space="preserve">Analysis of </w:t>
      </w:r>
      <w:bookmarkEnd w:id="2"/>
      <w:r w:rsidR="000A70EB" w:rsidRPr="000E188B">
        <w:rPr>
          <w:rFonts w:ascii="Calibri" w:hAnsi="Calibri" w:cs="Calibri"/>
          <w:b/>
          <w:lang w:val="en-US"/>
        </w:rPr>
        <w:t>GCSE progression to A-Level</w:t>
      </w:r>
      <w:bookmarkEnd w:id="3"/>
    </w:p>
    <w:p w14:paraId="165C7ED0" w14:textId="77777777" w:rsidR="007A6A2A" w:rsidRPr="000E188B" w:rsidRDefault="007A6A2A" w:rsidP="007A6A2A">
      <w:pPr>
        <w:rPr>
          <w:b/>
          <w:lang w:val="en-US"/>
        </w:rPr>
      </w:pPr>
    </w:p>
    <w:p w14:paraId="43DB97F6" w14:textId="7937C2E6" w:rsidR="00A35D04" w:rsidRPr="000E188B" w:rsidRDefault="007A6A2A" w:rsidP="004331C8">
      <w:pPr>
        <w:pStyle w:val="Heading1"/>
        <w:contextualSpacing/>
        <w:rPr>
          <w:rFonts w:ascii="Calibri" w:hAnsi="Calibri" w:cs="Calibri"/>
          <w:b/>
          <w:lang w:val="en-US"/>
        </w:rPr>
      </w:pPr>
      <w:bookmarkStart w:id="4" w:name="_Toc20304756"/>
      <w:bookmarkStart w:id="5" w:name="_Toc24557094"/>
      <w:r w:rsidRPr="000E188B">
        <w:rPr>
          <w:rFonts w:ascii="Calibri" w:hAnsi="Calibri" w:cs="Calibri"/>
          <w:b/>
          <w:lang w:val="en-US"/>
        </w:rPr>
        <w:t xml:space="preserve">Report </w:t>
      </w:r>
      <w:r w:rsidR="0037044D" w:rsidRPr="000E188B">
        <w:rPr>
          <w:rFonts w:ascii="Calibri" w:hAnsi="Calibri" w:cs="Calibri"/>
          <w:b/>
          <w:lang w:val="en-US"/>
        </w:rPr>
        <w:t xml:space="preserve">for </w:t>
      </w:r>
      <w:r w:rsidRPr="000E188B">
        <w:rPr>
          <w:rFonts w:ascii="Calibri" w:hAnsi="Calibri" w:cs="Calibri"/>
          <w:b/>
          <w:lang w:val="en-US"/>
        </w:rPr>
        <w:t>the Royal Geographical Society</w:t>
      </w:r>
      <w:bookmarkEnd w:id="4"/>
      <w:bookmarkEnd w:id="5"/>
      <w:r w:rsidR="000E188B">
        <w:rPr>
          <w:rFonts w:ascii="Calibri" w:hAnsi="Calibri" w:cs="Calibri"/>
          <w:b/>
          <w:lang w:val="en-US"/>
        </w:rPr>
        <w:t xml:space="preserve"> (with IBG)</w:t>
      </w:r>
    </w:p>
    <w:p w14:paraId="5A6195F4" w14:textId="1C271DDA" w:rsidR="00A35D04" w:rsidRPr="000E188B" w:rsidRDefault="00A35D04" w:rsidP="00481529">
      <w:pPr>
        <w:spacing w:after="160" w:line="259" w:lineRule="auto"/>
        <w:contextualSpacing/>
        <w:rPr>
          <w:b/>
          <w:bCs/>
          <w:sz w:val="20"/>
          <w:szCs w:val="20"/>
        </w:rPr>
      </w:pPr>
    </w:p>
    <w:p w14:paraId="23B0E99F" w14:textId="1226B36A" w:rsidR="00660875" w:rsidRPr="000E188B" w:rsidRDefault="00660875" w:rsidP="00481529">
      <w:pPr>
        <w:spacing w:after="160" w:line="259" w:lineRule="auto"/>
        <w:contextualSpacing/>
        <w:rPr>
          <w:b/>
          <w:bCs/>
          <w:sz w:val="20"/>
          <w:szCs w:val="20"/>
        </w:rPr>
      </w:pPr>
    </w:p>
    <w:p w14:paraId="71BDAC7E" w14:textId="148F4674" w:rsidR="00072460" w:rsidRPr="000E188B" w:rsidRDefault="00072460" w:rsidP="00481529">
      <w:pPr>
        <w:spacing w:after="160" w:line="259" w:lineRule="auto"/>
        <w:contextualSpacing/>
        <w:rPr>
          <w:b/>
          <w:bCs/>
          <w:sz w:val="20"/>
          <w:szCs w:val="20"/>
        </w:rPr>
      </w:pPr>
    </w:p>
    <w:p w14:paraId="4E6CDEB5" w14:textId="59BDF12D" w:rsidR="00072460" w:rsidRPr="000E188B" w:rsidRDefault="00072460" w:rsidP="00481529">
      <w:pPr>
        <w:spacing w:after="160" w:line="259" w:lineRule="auto"/>
        <w:contextualSpacing/>
        <w:rPr>
          <w:b/>
          <w:bCs/>
          <w:sz w:val="20"/>
          <w:szCs w:val="20"/>
        </w:rPr>
      </w:pPr>
    </w:p>
    <w:p w14:paraId="7CD71DB3" w14:textId="639B48BF" w:rsidR="00072460" w:rsidRPr="000E188B" w:rsidRDefault="00072460" w:rsidP="00481529">
      <w:pPr>
        <w:spacing w:after="160" w:line="259" w:lineRule="auto"/>
        <w:contextualSpacing/>
        <w:rPr>
          <w:b/>
          <w:bCs/>
          <w:sz w:val="20"/>
          <w:szCs w:val="20"/>
        </w:rPr>
      </w:pPr>
    </w:p>
    <w:p w14:paraId="5742B6CE" w14:textId="356BDA7F" w:rsidR="00072460" w:rsidRPr="000E188B" w:rsidRDefault="00072460" w:rsidP="00481529">
      <w:pPr>
        <w:spacing w:after="160" w:line="259" w:lineRule="auto"/>
        <w:contextualSpacing/>
        <w:rPr>
          <w:b/>
          <w:bCs/>
          <w:sz w:val="20"/>
          <w:szCs w:val="20"/>
        </w:rPr>
      </w:pPr>
    </w:p>
    <w:p w14:paraId="377EDC21" w14:textId="0F4F2C20" w:rsidR="00072460" w:rsidRPr="000E188B" w:rsidRDefault="00072460" w:rsidP="00481529">
      <w:pPr>
        <w:spacing w:after="160" w:line="259" w:lineRule="auto"/>
        <w:contextualSpacing/>
        <w:rPr>
          <w:b/>
          <w:bCs/>
          <w:sz w:val="20"/>
          <w:szCs w:val="20"/>
        </w:rPr>
      </w:pPr>
    </w:p>
    <w:p w14:paraId="4264DE24" w14:textId="30815659" w:rsidR="00072460" w:rsidRPr="000E188B" w:rsidRDefault="003B78CE" w:rsidP="00CC2619">
      <w:pPr>
        <w:pStyle w:val="Heading2"/>
        <w:jc w:val="right"/>
        <w:rPr>
          <w:rFonts w:ascii="Calibri" w:hAnsi="Calibri" w:cs="Calibri"/>
        </w:rPr>
      </w:pPr>
      <w:bookmarkStart w:id="6" w:name="_Toc20304757"/>
      <w:bookmarkStart w:id="7" w:name="_Toc24557095"/>
      <w:r w:rsidRPr="000E188B">
        <w:rPr>
          <w:rFonts w:ascii="Calibri" w:hAnsi="Calibri" w:cs="Calibri"/>
        </w:rPr>
        <w:t>Philip Nye</w:t>
      </w:r>
      <w:bookmarkEnd w:id="6"/>
      <w:bookmarkEnd w:id="7"/>
    </w:p>
    <w:p w14:paraId="67795001" w14:textId="6CDA736A" w:rsidR="00072460" w:rsidRDefault="003B78CE" w:rsidP="00CC2619">
      <w:pPr>
        <w:pStyle w:val="Heading2"/>
        <w:jc w:val="right"/>
        <w:rPr>
          <w:rFonts w:ascii="Calibri" w:hAnsi="Calibri" w:cs="Calibri"/>
        </w:rPr>
      </w:pPr>
      <w:bookmarkStart w:id="8" w:name="_Toc20304758"/>
      <w:bookmarkStart w:id="9" w:name="_Toc24557096"/>
      <w:r w:rsidRPr="000E188B">
        <w:rPr>
          <w:rFonts w:ascii="Calibri" w:hAnsi="Calibri" w:cs="Calibri"/>
        </w:rPr>
        <w:t>Dave Thomson</w:t>
      </w:r>
      <w:bookmarkEnd w:id="8"/>
      <w:bookmarkEnd w:id="9"/>
    </w:p>
    <w:p w14:paraId="0C33DC54" w14:textId="77777777" w:rsidR="00484A7F" w:rsidRDefault="00484A7F" w:rsidP="00484A7F"/>
    <w:p w14:paraId="3C9846DA" w14:textId="77777777" w:rsidR="00484A7F" w:rsidRDefault="00484A7F" w:rsidP="00484A7F"/>
    <w:p w14:paraId="38E2E5D9" w14:textId="739888B3" w:rsidR="00484A7F" w:rsidRPr="00484A7F" w:rsidRDefault="00484A7F" w:rsidP="00484A7F">
      <w:pPr>
        <w:ind w:left="7200"/>
        <w:jc w:val="right"/>
      </w:pPr>
      <w:r>
        <w:t>November 2019</w:t>
      </w:r>
    </w:p>
    <w:p w14:paraId="041744F8" w14:textId="6DCEDA6B" w:rsidR="00072460" w:rsidRPr="000E188B" w:rsidRDefault="00072460" w:rsidP="00CC2619">
      <w:pPr>
        <w:pStyle w:val="Heading2"/>
        <w:jc w:val="right"/>
        <w:rPr>
          <w:rFonts w:ascii="Calibri" w:hAnsi="Calibri" w:cs="Calibri"/>
        </w:rPr>
      </w:pPr>
    </w:p>
    <w:p w14:paraId="6D0DF70D" w14:textId="5F0A775D" w:rsidR="00072460" w:rsidRPr="000E188B" w:rsidRDefault="006D15DA">
      <w:pPr>
        <w:spacing w:after="160" w:line="259" w:lineRule="auto"/>
        <w:sectPr w:rsidR="00072460" w:rsidRPr="000E188B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E188B">
        <w:br w:type="page"/>
      </w:r>
    </w:p>
    <w:p w14:paraId="4FC1FDF1" w14:textId="42117E5D" w:rsidR="000D2107" w:rsidRPr="000E188B" w:rsidRDefault="000D2107" w:rsidP="00AB40F4">
      <w:pPr>
        <w:pStyle w:val="Heading2"/>
        <w:rPr>
          <w:rFonts w:ascii="Calibri" w:hAnsi="Calibri" w:cs="Calibri"/>
          <w:sz w:val="20"/>
          <w:szCs w:val="20"/>
        </w:rPr>
      </w:pPr>
      <w:bookmarkStart w:id="10" w:name="_Toc24557099"/>
      <w:r w:rsidRPr="000E188B">
        <w:rPr>
          <w:rFonts w:ascii="Calibri" w:hAnsi="Calibri" w:cs="Calibri"/>
          <w:sz w:val="20"/>
          <w:szCs w:val="20"/>
        </w:rPr>
        <w:lastRenderedPageBreak/>
        <w:t>1. Introduction</w:t>
      </w:r>
      <w:bookmarkEnd w:id="10"/>
    </w:p>
    <w:p w14:paraId="3710F9CA" w14:textId="77777777" w:rsidR="000E188B" w:rsidRPr="000E188B" w:rsidRDefault="000E188B" w:rsidP="007A6A2A">
      <w:pPr>
        <w:rPr>
          <w:sz w:val="20"/>
          <w:szCs w:val="20"/>
        </w:rPr>
      </w:pPr>
    </w:p>
    <w:p w14:paraId="56D4A97B" w14:textId="551FF788" w:rsidR="000A70EB" w:rsidRPr="000E188B" w:rsidRDefault="007A6A2A" w:rsidP="007A6A2A">
      <w:pPr>
        <w:rPr>
          <w:sz w:val="20"/>
          <w:szCs w:val="20"/>
        </w:rPr>
      </w:pPr>
      <w:r w:rsidRPr="000E188B">
        <w:rPr>
          <w:sz w:val="20"/>
          <w:szCs w:val="20"/>
        </w:rPr>
        <w:t xml:space="preserve">This report </w:t>
      </w:r>
      <w:r w:rsidR="000E188B">
        <w:rPr>
          <w:sz w:val="20"/>
          <w:szCs w:val="20"/>
        </w:rPr>
        <w:t xml:space="preserve">analyses </w:t>
      </w:r>
      <w:r w:rsidR="000A70EB" w:rsidRPr="000E188B">
        <w:rPr>
          <w:sz w:val="20"/>
          <w:szCs w:val="20"/>
        </w:rPr>
        <w:t>progress</w:t>
      </w:r>
      <w:r w:rsidR="000E188B">
        <w:rPr>
          <w:sz w:val="20"/>
          <w:szCs w:val="20"/>
        </w:rPr>
        <w:t>ion</w:t>
      </w:r>
      <w:r w:rsidR="000A70EB" w:rsidRPr="000E188B">
        <w:rPr>
          <w:sz w:val="20"/>
          <w:szCs w:val="20"/>
        </w:rPr>
        <w:t xml:space="preserve"> from </w:t>
      </w:r>
      <w:r w:rsidR="000E188B">
        <w:rPr>
          <w:sz w:val="20"/>
          <w:szCs w:val="20"/>
        </w:rPr>
        <w:t>GCSE to</w:t>
      </w:r>
      <w:r w:rsidR="00651801" w:rsidRPr="000E188B">
        <w:rPr>
          <w:sz w:val="20"/>
          <w:szCs w:val="20"/>
        </w:rPr>
        <w:t xml:space="preserve"> </w:t>
      </w:r>
      <w:r w:rsidR="000A70EB" w:rsidRPr="000E188B">
        <w:rPr>
          <w:sz w:val="20"/>
          <w:szCs w:val="20"/>
        </w:rPr>
        <w:t>A-Level geography – focusing in particular on those who could, but do not, take A-Level geography.</w:t>
      </w:r>
    </w:p>
    <w:p w14:paraId="116DA16F" w14:textId="77777777" w:rsidR="007A6A2A" w:rsidRPr="000E188B" w:rsidRDefault="007A6A2A" w:rsidP="007A6A2A">
      <w:pPr>
        <w:rPr>
          <w:sz w:val="20"/>
          <w:szCs w:val="20"/>
        </w:rPr>
      </w:pPr>
    </w:p>
    <w:p w14:paraId="798C19E5" w14:textId="016B2DD1" w:rsidR="002F04E4" w:rsidRPr="000E188B" w:rsidRDefault="00EC59B6" w:rsidP="00EC59B6">
      <w:pPr>
        <w:pStyle w:val="Heading3"/>
        <w:rPr>
          <w:rFonts w:ascii="Calibri" w:hAnsi="Calibri" w:cs="Calibri"/>
          <w:sz w:val="20"/>
          <w:szCs w:val="20"/>
        </w:rPr>
      </w:pPr>
      <w:bookmarkStart w:id="11" w:name="_Toc24557100"/>
      <w:r w:rsidRPr="000E188B">
        <w:rPr>
          <w:rFonts w:ascii="Calibri" w:hAnsi="Calibri" w:cs="Calibri"/>
          <w:sz w:val="20"/>
          <w:szCs w:val="20"/>
        </w:rPr>
        <w:t>Acknowledgments</w:t>
      </w:r>
      <w:bookmarkEnd w:id="11"/>
    </w:p>
    <w:p w14:paraId="3A34B832" w14:textId="5020E37C" w:rsidR="00EC59B6" w:rsidRPr="000E188B" w:rsidRDefault="00EC59B6" w:rsidP="00AB40F4">
      <w:pPr>
        <w:rPr>
          <w:sz w:val="20"/>
          <w:szCs w:val="20"/>
        </w:rPr>
      </w:pPr>
      <w:r w:rsidRPr="000E188B">
        <w:rPr>
          <w:sz w:val="20"/>
          <w:szCs w:val="20"/>
        </w:rPr>
        <w:t xml:space="preserve">This publication includes analysis of the Department for Education </w:t>
      </w:r>
      <w:hyperlink r:id="rId10" w:history="1">
        <w:r w:rsidRPr="000E188B">
          <w:rPr>
            <w:rStyle w:val="Hyperlink"/>
            <w:sz w:val="20"/>
            <w:szCs w:val="20"/>
          </w:rPr>
          <w:t>National Pupil Database</w:t>
        </w:r>
      </w:hyperlink>
      <w:r w:rsidRPr="000E188B">
        <w:rPr>
          <w:sz w:val="20"/>
          <w:szCs w:val="20"/>
        </w:rPr>
        <w:t xml:space="preserve">. Inferences or conclusions derived from the NPD in this publication are the responsibility of FFT Education </w:t>
      </w:r>
      <w:proofErr w:type="spellStart"/>
      <w:r w:rsidRPr="000E188B">
        <w:rPr>
          <w:sz w:val="20"/>
          <w:szCs w:val="20"/>
        </w:rPr>
        <w:t>Datalab</w:t>
      </w:r>
      <w:proofErr w:type="spellEnd"/>
      <w:r w:rsidRPr="000E188B">
        <w:rPr>
          <w:sz w:val="20"/>
          <w:szCs w:val="20"/>
        </w:rPr>
        <w:t xml:space="preserve"> and not the Department for Education</w:t>
      </w:r>
      <w:r w:rsidR="00AA2799" w:rsidRPr="000E188B">
        <w:rPr>
          <w:sz w:val="20"/>
          <w:szCs w:val="20"/>
        </w:rPr>
        <w:t>.</w:t>
      </w:r>
    </w:p>
    <w:p w14:paraId="389711EE" w14:textId="5DB5DEA2" w:rsidR="00EC59B6" w:rsidRPr="000E188B" w:rsidRDefault="00EC59B6">
      <w:pPr>
        <w:spacing w:after="160" w:line="259" w:lineRule="auto"/>
        <w:rPr>
          <w:rFonts w:eastAsiaTheme="majorEastAsia"/>
          <w:color w:val="AC005D" w:themeColor="accent1" w:themeShade="BF"/>
          <w:sz w:val="20"/>
          <w:szCs w:val="20"/>
        </w:rPr>
      </w:pPr>
    </w:p>
    <w:p w14:paraId="6CC28675" w14:textId="0A26399B" w:rsidR="001A6913" w:rsidRPr="000E188B" w:rsidRDefault="000D2107" w:rsidP="00481529">
      <w:pPr>
        <w:pStyle w:val="Heading2"/>
        <w:contextualSpacing/>
        <w:rPr>
          <w:rFonts w:ascii="Calibri" w:hAnsi="Calibri" w:cs="Calibri"/>
          <w:sz w:val="20"/>
          <w:szCs w:val="20"/>
        </w:rPr>
      </w:pPr>
      <w:bookmarkStart w:id="12" w:name="_Toc24557101"/>
      <w:r w:rsidRPr="000E188B">
        <w:rPr>
          <w:rFonts w:ascii="Calibri" w:hAnsi="Calibri" w:cs="Calibri"/>
          <w:sz w:val="20"/>
          <w:szCs w:val="20"/>
        </w:rPr>
        <w:t>2</w:t>
      </w:r>
      <w:r w:rsidR="00660875" w:rsidRPr="000E188B">
        <w:rPr>
          <w:rFonts w:ascii="Calibri" w:hAnsi="Calibri" w:cs="Calibri"/>
          <w:sz w:val="20"/>
          <w:szCs w:val="20"/>
        </w:rPr>
        <w:t xml:space="preserve">. </w:t>
      </w:r>
      <w:r w:rsidR="000A70EB" w:rsidRPr="000E188B">
        <w:rPr>
          <w:rFonts w:ascii="Calibri" w:hAnsi="Calibri" w:cs="Calibri"/>
          <w:sz w:val="20"/>
          <w:szCs w:val="20"/>
        </w:rPr>
        <w:t>Approach</w:t>
      </w:r>
      <w:bookmarkEnd w:id="12"/>
    </w:p>
    <w:p w14:paraId="7D89F239" w14:textId="28E87F50" w:rsidR="000A70EB" w:rsidRPr="000E188B" w:rsidRDefault="000A70EB" w:rsidP="000A70EB">
      <w:pPr>
        <w:rPr>
          <w:sz w:val="20"/>
          <w:szCs w:val="20"/>
          <w:lang w:val="en-US"/>
        </w:rPr>
      </w:pPr>
      <w:r w:rsidRPr="000E188B">
        <w:rPr>
          <w:sz w:val="20"/>
          <w:szCs w:val="20"/>
          <w:lang w:val="en-US"/>
        </w:rPr>
        <w:t xml:space="preserve">We looked to see whether the propensity to enter A-Level geography varies by pupil characteristics and geography. Are some groups of pupils less likely to progress to A-Level geography? </w:t>
      </w:r>
      <w:r w:rsidR="000E188B">
        <w:rPr>
          <w:sz w:val="20"/>
          <w:szCs w:val="20"/>
          <w:lang w:val="en-US"/>
        </w:rPr>
        <w:t xml:space="preserve">Where is this more, and less likely, to occur across </w:t>
      </w:r>
      <w:r w:rsidRPr="000E188B">
        <w:rPr>
          <w:sz w:val="20"/>
          <w:szCs w:val="20"/>
          <w:lang w:val="en-US"/>
        </w:rPr>
        <w:t>England?</w:t>
      </w:r>
    </w:p>
    <w:p w14:paraId="301E6088" w14:textId="77777777" w:rsidR="000A70EB" w:rsidRPr="000E188B" w:rsidRDefault="000A70EB" w:rsidP="000A70EB">
      <w:pPr>
        <w:rPr>
          <w:sz w:val="20"/>
          <w:szCs w:val="20"/>
          <w:lang w:val="en-US"/>
        </w:rPr>
      </w:pPr>
    </w:p>
    <w:p w14:paraId="186A0392" w14:textId="0303B358" w:rsidR="000A70EB" w:rsidRPr="000E188B" w:rsidRDefault="000A70EB" w:rsidP="000A70EB">
      <w:pPr>
        <w:rPr>
          <w:sz w:val="20"/>
          <w:szCs w:val="20"/>
          <w:lang w:val="en-US"/>
        </w:rPr>
      </w:pPr>
      <w:r w:rsidRPr="000E188B">
        <w:rPr>
          <w:sz w:val="20"/>
          <w:szCs w:val="20"/>
          <w:lang w:val="en-US"/>
        </w:rPr>
        <w:t>To do this, we looked at the cohort of pupils that completed Key Stage 4 in 2015 and observed whether they had entered A-Level geography in the following three years (up to the end of 2018). Using logistic regression, we modelled the probability of each pupil entering A-Level geography based on Key Stage 4 attainment (both overall and in GCSE geography), gender and type of school attended (independent or state).</w:t>
      </w:r>
    </w:p>
    <w:p w14:paraId="3617BA6D" w14:textId="77777777" w:rsidR="000A70EB" w:rsidRPr="000E188B" w:rsidRDefault="000A70EB" w:rsidP="000A70EB">
      <w:pPr>
        <w:rPr>
          <w:sz w:val="20"/>
          <w:szCs w:val="20"/>
          <w:lang w:val="en-US"/>
        </w:rPr>
      </w:pPr>
    </w:p>
    <w:p w14:paraId="4757BEE4" w14:textId="3C90D910" w:rsidR="000A70EB" w:rsidRPr="000E188B" w:rsidRDefault="000A70EB" w:rsidP="000A70EB">
      <w:pPr>
        <w:rPr>
          <w:sz w:val="20"/>
          <w:szCs w:val="20"/>
          <w:lang w:val="en-US"/>
        </w:rPr>
      </w:pPr>
      <w:r w:rsidRPr="000E188B">
        <w:rPr>
          <w:sz w:val="20"/>
          <w:szCs w:val="20"/>
          <w:lang w:val="en-US"/>
        </w:rPr>
        <w:t>Averaging the modelled probabilities for a particular group of pupils (e.g. disadvantaged pupils) gives us the percentage of pupils expected to enter geography on the basis of Key Stage 4 attainment, gen</w:t>
      </w:r>
      <w:r w:rsidR="00651801" w:rsidRPr="000E188B">
        <w:rPr>
          <w:sz w:val="20"/>
          <w:szCs w:val="20"/>
          <w:lang w:val="en-US"/>
        </w:rPr>
        <w:t>der and type of school attended</w:t>
      </w:r>
      <w:r w:rsidRPr="000E188B">
        <w:rPr>
          <w:sz w:val="20"/>
          <w:szCs w:val="20"/>
          <w:lang w:val="en-US"/>
        </w:rPr>
        <w:t>. We then compared this expected percentage with the actual percentage who entered. If the actual percentage is higher, this suggests that the group is more likely to enter A-Level geography than would be expected given their prior attainment, gender and type of school attended.</w:t>
      </w:r>
    </w:p>
    <w:p w14:paraId="0C42FBC3" w14:textId="77777777" w:rsidR="000A70EB" w:rsidRPr="000E188B" w:rsidRDefault="000A70EB" w:rsidP="000A70EB">
      <w:pPr>
        <w:rPr>
          <w:sz w:val="20"/>
          <w:szCs w:val="20"/>
          <w:lang w:val="en-US"/>
        </w:rPr>
      </w:pPr>
    </w:p>
    <w:p w14:paraId="00C10D88" w14:textId="7A2A0E3D" w:rsidR="000A70EB" w:rsidRPr="000E188B" w:rsidRDefault="000A70EB" w:rsidP="000A70EB">
      <w:pPr>
        <w:rPr>
          <w:sz w:val="20"/>
          <w:szCs w:val="20"/>
          <w:lang w:val="en-US"/>
        </w:rPr>
      </w:pPr>
      <w:r w:rsidRPr="000E188B">
        <w:rPr>
          <w:sz w:val="20"/>
          <w:szCs w:val="20"/>
          <w:lang w:val="en-US"/>
        </w:rPr>
        <w:t>We performed this comparison of actual and expected percentages for a range of pupil</w:t>
      </w:r>
      <w:r w:rsidR="000D46D8" w:rsidRPr="000E188B">
        <w:rPr>
          <w:sz w:val="20"/>
          <w:szCs w:val="20"/>
          <w:lang w:val="en-US"/>
        </w:rPr>
        <w:t xml:space="preserve"> characteristics, school types and </w:t>
      </w:r>
      <w:r w:rsidRPr="000E188B">
        <w:rPr>
          <w:sz w:val="20"/>
          <w:szCs w:val="20"/>
          <w:lang w:val="en-US"/>
        </w:rPr>
        <w:t>area types</w:t>
      </w:r>
      <w:r w:rsidR="000D46D8" w:rsidRPr="000E188B">
        <w:rPr>
          <w:sz w:val="20"/>
          <w:szCs w:val="20"/>
          <w:lang w:val="en-US"/>
        </w:rPr>
        <w:t>,</w:t>
      </w:r>
      <w:r w:rsidRPr="000E188B">
        <w:rPr>
          <w:sz w:val="20"/>
          <w:szCs w:val="20"/>
          <w:lang w:val="en-US"/>
        </w:rPr>
        <w:t xml:space="preserve"> and by local authority district.</w:t>
      </w:r>
    </w:p>
    <w:p w14:paraId="6B1ED92A" w14:textId="08EBB36D" w:rsidR="000A70EB" w:rsidRPr="000E188B" w:rsidRDefault="000A70EB" w:rsidP="003B78CE">
      <w:pPr>
        <w:rPr>
          <w:sz w:val="20"/>
          <w:szCs w:val="20"/>
        </w:rPr>
      </w:pPr>
    </w:p>
    <w:p w14:paraId="24F7716E" w14:textId="3EC852EB" w:rsidR="000A70EB" w:rsidRPr="000E188B" w:rsidRDefault="000A70EB" w:rsidP="000A70EB">
      <w:pPr>
        <w:pStyle w:val="Heading2"/>
        <w:contextualSpacing/>
        <w:rPr>
          <w:rFonts w:ascii="Calibri" w:hAnsi="Calibri" w:cs="Calibri"/>
          <w:sz w:val="20"/>
          <w:szCs w:val="20"/>
        </w:rPr>
      </w:pPr>
      <w:bookmarkStart w:id="13" w:name="_Toc24557102"/>
      <w:r w:rsidRPr="000E188B">
        <w:rPr>
          <w:rFonts w:ascii="Calibri" w:hAnsi="Calibri" w:cs="Calibri"/>
          <w:sz w:val="20"/>
          <w:szCs w:val="20"/>
        </w:rPr>
        <w:t>3. Results</w:t>
      </w:r>
      <w:bookmarkEnd w:id="13"/>
    </w:p>
    <w:p w14:paraId="002E2686" w14:textId="4693C548" w:rsidR="004B6040" w:rsidRPr="000E188B" w:rsidRDefault="004B6040" w:rsidP="003B78CE">
      <w:pPr>
        <w:rPr>
          <w:sz w:val="20"/>
          <w:szCs w:val="20"/>
        </w:rPr>
      </w:pPr>
      <w:r w:rsidRPr="000E188B">
        <w:rPr>
          <w:sz w:val="20"/>
          <w:szCs w:val="20"/>
        </w:rPr>
        <w:t xml:space="preserve">Where school characteristics are considered, these are the schools </w:t>
      </w:r>
      <w:r w:rsidR="00574F7E">
        <w:rPr>
          <w:sz w:val="20"/>
          <w:szCs w:val="20"/>
        </w:rPr>
        <w:t xml:space="preserve">in </w:t>
      </w:r>
      <w:r w:rsidRPr="000E188B">
        <w:rPr>
          <w:sz w:val="20"/>
          <w:szCs w:val="20"/>
        </w:rPr>
        <w:t>which pupils completed Key Stage 4 as opposed to where they may be studying for Key Stage 5.</w:t>
      </w:r>
    </w:p>
    <w:p w14:paraId="5BE88C29" w14:textId="77777777" w:rsidR="004B6040" w:rsidRPr="000E188B" w:rsidRDefault="004B6040" w:rsidP="003B78CE">
      <w:pPr>
        <w:rPr>
          <w:sz w:val="20"/>
          <w:szCs w:val="20"/>
        </w:rPr>
      </w:pPr>
    </w:p>
    <w:p w14:paraId="26BF0995" w14:textId="2E04378B" w:rsidR="007748FE" w:rsidRPr="000E188B" w:rsidRDefault="00E06597" w:rsidP="003B78CE">
      <w:pPr>
        <w:rPr>
          <w:sz w:val="20"/>
          <w:szCs w:val="20"/>
        </w:rPr>
      </w:pPr>
      <w:r w:rsidRPr="000E188B">
        <w:rPr>
          <w:sz w:val="20"/>
          <w:szCs w:val="20"/>
        </w:rPr>
        <w:t>Definitions are as</w:t>
      </w:r>
      <w:r w:rsidR="007748FE" w:rsidRPr="000E188B">
        <w:rPr>
          <w:sz w:val="20"/>
          <w:szCs w:val="20"/>
        </w:rPr>
        <w:t xml:space="preserve"> per the original GCSE analysis</w:t>
      </w:r>
      <w:r w:rsidR="007362F4" w:rsidRPr="000E188B">
        <w:rPr>
          <w:sz w:val="20"/>
          <w:szCs w:val="20"/>
        </w:rPr>
        <w:t>. A</w:t>
      </w:r>
      <w:r w:rsidR="007748FE" w:rsidRPr="000E188B">
        <w:rPr>
          <w:sz w:val="20"/>
          <w:szCs w:val="20"/>
        </w:rPr>
        <w:t xml:space="preserve">n additional metric, referred to as area demographics, has </w:t>
      </w:r>
      <w:r w:rsidR="007362F4" w:rsidRPr="000E188B">
        <w:rPr>
          <w:sz w:val="20"/>
          <w:szCs w:val="20"/>
        </w:rPr>
        <w:t xml:space="preserve">also been considered here. </w:t>
      </w:r>
      <w:r w:rsidR="007748FE" w:rsidRPr="000E188B">
        <w:rPr>
          <w:sz w:val="20"/>
          <w:szCs w:val="20"/>
        </w:rPr>
        <w:t>T</w:t>
      </w:r>
      <w:r w:rsidR="000D46D8" w:rsidRPr="000E188B">
        <w:rPr>
          <w:sz w:val="20"/>
          <w:szCs w:val="20"/>
        </w:rPr>
        <w:t>his</w:t>
      </w:r>
      <w:r w:rsidR="007748FE" w:rsidRPr="000E188B">
        <w:rPr>
          <w:sz w:val="20"/>
          <w:szCs w:val="20"/>
        </w:rPr>
        <w:t xml:space="preserve"> relate to </w:t>
      </w:r>
      <w:hyperlink r:id="rId11" w:history="1">
        <w:r w:rsidR="007748FE" w:rsidRPr="000E188B">
          <w:rPr>
            <w:rStyle w:val="Hyperlink"/>
            <w:sz w:val="20"/>
            <w:szCs w:val="20"/>
          </w:rPr>
          <w:t>the ONS’s 2011 residential-based area classification super</w:t>
        </w:r>
        <w:r w:rsidR="00574F7E">
          <w:rPr>
            <w:rStyle w:val="Hyperlink"/>
            <w:sz w:val="20"/>
            <w:szCs w:val="20"/>
          </w:rPr>
          <w:t>-</w:t>
        </w:r>
        <w:r w:rsidR="007748FE" w:rsidRPr="000E188B">
          <w:rPr>
            <w:rStyle w:val="Hyperlink"/>
            <w:sz w:val="20"/>
            <w:szCs w:val="20"/>
          </w:rPr>
          <w:t>groups</w:t>
        </w:r>
      </w:hyperlink>
      <w:r w:rsidR="007748FE" w:rsidRPr="000E188B">
        <w:rPr>
          <w:sz w:val="20"/>
          <w:szCs w:val="20"/>
        </w:rPr>
        <w:t>.</w:t>
      </w:r>
    </w:p>
    <w:p w14:paraId="09F2F6D3" w14:textId="77777777" w:rsidR="007748FE" w:rsidRPr="000E188B" w:rsidRDefault="007748FE" w:rsidP="003B78CE">
      <w:pPr>
        <w:rPr>
          <w:sz w:val="20"/>
          <w:szCs w:val="20"/>
        </w:rPr>
      </w:pPr>
    </w:p>
    <w:p w14:paraId="085FE72A" w14:textId="15E52FCD" w:rsidR="000A70EB" w:rsidRPr="000E188B" w:rsidRDefault="00E06597" w:rsidP="003B78CE">
      <w:pPr>
        <w:rPr>
          <w:sz w:val="20"/>
          <w:szCs w:val="20"/>
        </w:rPr>
      </w:pPr>
      <w:r w:rsidRPr="000E188B">
        <w:rPr>
          <w:sz w:val="20"/>
          <w:szCs w:val="20"/>
        </w:rPr>
        <w:t xml:space="preserve">A Tableau packaged workbook, viewable in Tableau Reader, </w:t>
      </w:r>
      <w:r w:rsidRPr="000E188B">
        <w:rPr>
          <w:color w:val="1982B0" w:themeColor="accent2" w:themeShade="BF"/>
          <w:sz w:val="20"/>
          <w:szCs w:val="20"/>
        </w:rPr>
        <w:t>rgs_ks4progression.twbx</w:t>
      </w:r>
      <w:r w:rsidRPr="000E188B">
        <w:rPr>
          <w:sz w:val="20"/>
          <w:szCs w:val="20"/>
        </w:rPr>
        <w:t xml:space="preserve">, gives a map comparing actual and expected entry rates at local authority district-level. </w:t>
      </w:r>
      <w:r w:rsidR="000A70EB" w:rsidRPr="000E188B">
        <w:rPr>
          <w:sz w:val="20"/>
          <w:szCs w:val="20"/>
        </w:rPr>
        <w:t xml:space="preserve">Data underlying this map can be found in </w:t>
      </w:r>
      <w:r w:rsidR="000A70EB" w:rsidRPr="000E188B">
        <w:rPr>
          <w:color w:val="1982B0" w:themeColor="accent2" w:themeShade="BF"/>
          <w:sz w:val="20"/>
          <w:szCs w:val="20"/>
        </w:rPr>
        <w:t>rgs_ks4progression_districtlevel.xlsx</w:t>
      </w:r>
      <w:r w:rsidR="000A70EB" w:rsidRPr="000E188B">
        <w:rPr>
          <w:sz w:val="20"/>
          <w:szCs w:val="20"/>
        </w:rPr>
        <w:t>.</w:t>
      </w:r>
    </w:p>
    <w:p w14:paraId="7BB6FFE8" w14:textId="70B05FDB" w:rsidR="00E06597" w:rsidRPr="000E188B" w:rsidRDefault="00E06597" w:rsidP="003B78CE">
      <w:pPr>
        <w:rPr>
          <w:sz w:val="20"/>
          <w:szCs w:val="20"/>
        </w:rPr>
      </w:pPr>
    </w:p>
    <w:p w14:paraId="395A5942" w14:textId="47F7EEC7" w:rsidR="00E06597" w:rsidRPr="000E188B" w:rsidRDefault="00E06597" w:rsidP="003B78CE">
      <w:pPr>
        <w:rPr>
          <w:sz w:val="20"/>
          <w:szCs w:val="20"/>
        </w:rPr>
      </w:pPr>
      <w:r w:rsidRPr="000E188B">
        <w:rPr>
          <w:sz w:val="20"/>
          <w:szCs w:val="20"/>
        </w:rPr>
        <w:t xml:space="preserve">Key results are </w:t>
      </w:r>
      <w:r w:rsidR="000D46D8" w:rsidRPr="000E188B">
        <w:rPr>
          <w:sz w:val="20"/>
          <w:szCs w:val="20"/>
        </w:rPr>
        <w:t>as follows</w:t>
      </w:r>
      <w:r w:rsidRPr="000E188B">
        <w:rPr>
          <w:sz w:val="20"/>
          <w:szCs w:val="20"/>
        </w:rPr>
        <w:t>:</w:t>
      </w:r>
    </w:p>
    <w:p w14:paraId="04BF8026" w14:textId="14B440C0" w:rsidR="00E06597" w:rsidRPr="000E188B" w:rsidRDefault="00E06597" w:rsidP="003B78CE">
      <w:pPr>
        <w:rPr>
          <w:sz w:val="20"/>
          <w:szCs w:val="20"/>
        </w:rPr>
      </w:pPr>
    </w:p>
    <w:p w14:paraId="4B2914E5" w14:textId="1C765415" w:rsidR="00B54923" w:rsidRPr="00B54923" w:rsidRDefault="000E188B" w:rsidP="00CE05C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B54923">
        <w:rPr>
          <w:rFonts w:cs="Calibri"/>
          <w:sz w:val="20"/>
          <w:szCs w:val="20"/>
        </w:rPr>
        <w:t>F</w:t>
      </w:r>
      <w:r w:rsidR="007748FE" w:rsidRPr="00B54923">
        <w:rPr>
          <w:rFonts w:cs="Calibri"/>
          <w:sz w:val="20"/>
          <w:szCs w:val="20"/>
        </w:rPr>
        <w:t xml:space="preserve">ewer disadvantaged pupils entered A-Level geography than expected: </w:t>
      </w:r>
      <w:r w:rsidR="00E06597" w:rsidRPr="00B54923">
        <w:rPr>
          <w:rFonts w:cs="Calibri"/>
          <w:sz w:val="20"/>
          <w:szCs w:val="20"/>
        </w:rPr>
        <w:t xml:space="preserve">2.0% of disadvantaged pupils </w:t>
      </w:r>
      <w:r w:rsidR="000D46D8" w:rsidRPr="00B54923">
        <w:rPr>
          <w:rFonts w:cs="Calibri"/>
          <w:sz w:val="20"/>
          <w:szCs w:val="20"/>
        </w:rPr>
        <w:t xml:space="preserve">in the cohort would have been </w:t>
      </w:r>
      <w:r w:rsidR="00E06597" w:rsidRPr="00B54923">
        <w:rPr>
          <w:rFonts w:cs="Calibri"/>
          <w:sz w:val="20"/>
          <w:szCs w:val="20"/>
        </w:rPr>
        <w:t>expected</w:t>
      </w:r>
      <w:r w:rsidR="000D46D8" w:rsidRPr="00B54923">
        <w:rPr>
          <w:rFonts w:cs="Calibri"/>
          <w:sz w:val="20"/>
          <w:szCs w:val="20"/>
        </w:rPr>
        <w:t xml:space="preserve"> to </w:t>
      </w:r>
      <w:r w:rsidRPr="00B54923">
        <w:rPr>
          <w:rFonts w:cs="Calibri"/>
          <w:sz w:val="20"/>
          <w:szCs w:val="20"/>
        </w:rPr>
        <w:t xml:space="preserve">progress </w:t>
      </w:r>
      <w:r w:rsidR="000D46D8" w:rsidRPr="00B54923">
        <w:rPr>
          <w:rFonts w:cs="Calibri"/>
          <w:sz w:val="20"/>
          <w:szCs w:val="20"/>
        </w:rPr>
        <w:t>based on prior attainment, gender and the type of school attended</w:t>
      </w:r>
      <w:r w:rsidR="00E06597" w:rsidRPr="00B54923">
        <w:rPr>
          <w:rFonts w:cs="Calibri"/>
          <w:sz w:val="20"/>
          <w:szCs w:val="20"/>
        </w:rPr>
        <w:t xml:space="preserve"> but only 1.4% did so</w:t>
      </w:r>
      <w:r w:rsidR="00B54923" w:rsidRPr="00B54923">
        <w:rPr>
          <w:rFonts w:cs="Calibri"/>
          <w:sz w:val="20"/>
          <w:szCs w:val="20"/>
        </w:rPr>
        <w:t>.</w:t>
      </w:r>
    </w:p>
    <w:p w14:paraId="5CD6A3CA" w14:textId="48D01C0D" w:rsidR="00B06186" w:rsidRPr="000E188B" w:rsidRDefault="000E188B" w:rsidP="00176BA1">
      <w:pPr>
        <w:pStyle w:val="ListParagraph"/>
        <w:numPr>
          <w:ilvl w:val="0"/>
          <w:numId w:val="24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="00B06186" w:rsidRPr="000E188B">
        <w:rPr>
          <w:rFonts w:cs="Calibri"/>
          <w:sz w:val="20"/>
          <w:szCs w:val="20"/>
        </w:rPr>
        <w:t>part from white pupils, fewer pupils of all (known) ethnicities entered A-Level geography than expected. The greatest disparities</w:t>
      </w:r>
      <w:r w:rsidR="000D46D8" w:rsidRPr="000E188B">
        <w:rPr>
          <w:rFonts w:cs="Calibri"/>
          <w:sz w:val="20"/>
          <w:szCs w:val="20"/>
        </w:rPr>
        <w:t xml:space="preserve"> existed </w:t>
      </w:r>
      <w:r w:rsidR="00B06186" w:rsidRPr="000E188B">
        <w:rPr>
          <w:rFonts w:cs="Calibri"/>
          <w:sz w:val="20"/>
          <w:szCs w:val="20"/>
        </w:rPr>
        <w:t>for Asian/Asian Britis</w:t>
      </w:r>
      <w:r w:rsidR="000D46D8" w:rsidRPr="000E188B">
        <w:rPr>
          <w:rFonts w:cs="Calibri"/>
          <w:sz w:val="20"/>
          <w:szCs w:val="20"/>
        </w:rPr>
        <w:t>h and Chinese pupils, where 1.6 percentage points (p.p.)</w:t>
      </w:r>
      <w:r w:rsidR="00B06186" w:rsidRPr="000E188B">
        <w:rPr>
          <w:rFonts w:cs="Calibri"/>
          <w:sz w:val="20"/>
          <w:szCs w:val="20"/>
        </w:rPr>
        <w:t xml:space="preserve"> fewer pupils entered than would have been expected (entry rates of 3.5% versus an expectation of 5.1%, and 6.7% versus 8.3%, respectively)</w:t>
      </w:r>
      <w:r w:rsidR="000D46D8" w:rsidRPr="000E188B">
        <w:rPr>
          <w:rFonts w:cs="Calibri"/>
          <w:sz w:val="20"/>
          <w:szCs w:val="20"/>
        </w:rPr>
        <w:t>. These were the greatest disparities observed across this piece of analysis in percentage point terms</w:t>
      </w:r>
      <w:r w:rsidR="00B06186" w:rsidRPr="000E188B">
        <w:rPr>
          <w:rFonts w:cs="Calibri"/>
          <w:sz w:val="20"/>
          <w:szCs w:val="20"/>
        </w:rPr>
        <w:t>;</w:t>
      </w:r>
    </w:p>
    <w:p w14:paraId="5F92BB43" w14:textId="152FEEF9" w:rsidR="00B06186" w:rsidRPr="000E188B" w:rsidRDefault="000E188B" w:rsidP="00B06186">
      <w:pPr>
        <w:pStyle w:val="ListParagraph"/>
        <w:numPr>
          <w:ilvl w:val="0"/>
          <w:numId w:val="24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</w:t>
      </w:r>
      <w:r w:rsidR="00B06186" w:rsidRPr="000E188B">
        <w:rPr>
          <w:rFonts w:cs="Calibri"/>
          <w:sz w:val="20"/>
          <w:szCs w:val="20"/>
        </w:rPr>
        <w:t>aps in entry rates by area type were relatively small, with only those living in ‘urban major conurbations’ less likely to enter A-Level geography than expected;</w:t>
      </w:r>
    </w:p>
    <w:p w14:paraId="4BDCF726" w14:textId="7F50E110" w:rsidR="00B06186" w:rsidRPr="000E188B" w:rsidRDefault="000E188B" w:rsidP="00B06186">
      <w:pPr>
        <w:pStyle w:val="ListParagraph"/>
        <w:numPr>
          <w:ilvl w:val="0"/>
          <w:numId w:val="24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</w:t>
      </w:r>
      <w:r w:rsidR="00B06186" w:rsidRPr="000E188B">
        <w:rPr>
          <w:rFonts w:cs="Calibri"/>
          <w:sz w:val="20"/>
          <w:szCs w:val="20"/>
        </w:rPr>
        <w:t xml:space="preserve">arger gaps were seen </w:t>
      </w:r>
      <w:r w:rsidR="0054445C" w:rsidRPr="000E188B">
        <w:rPr>
          <w:rFonts w:cs="Calibri"/>
          <w:sz w:val="20"/>
          <w:szCs w:val="20"/>
        </w:rPr>
        <w:t xml:space="preserve">in the </w:t>
      </w:r>
      <w:r w:rsidR="00B06186" w:rsidRPr="000E188B">
        <w:rPr>
          <w:rFonts w:cs="Calibri"/>
          <w:sz w:val="20"/>
          <w:szCs w:val="20"/>
        </w:rPr>
        <w:t>analysis by area demographics – ranging from 0.9</w:t>
      </w:r>
      <w:r w:rsidR="000D46D8" w:rsidRPr="000E188B">
        <w:rPr>
          <w:rFonts w:cs="Calibri"/>
          <w:sz w:val="20"/>
          <w:szCs w:val="20"/>
        </w:rPr>
        <w:t xml:space="preserve">p.p. </w:t>
      </w:r>
      <w:r w:rsidR="00B06186" w:rsidRPr="000E188B">
        <w:rPr>
          <w:rFonts w:cs="Calibri"/>
          <w:sz w:val="20"/>
          <w:szCs w:val="20"/>
        </w:rPr>
        <w:t xml:space="preserve">more students </w:t>
      </w:r>
      <w:r w:rsidR="00F633E6" w:rsidRPr="000E188B">
        <w:rPr>
          <w:rFonts w:cs="Calibri"/>
          <w:sz w:val="20"/>
          <w:szCs w:val="20"/>
        </w:rPr>
        <w:t xml:space="preserve">than expected </w:t>
      </w:r>
      <w:r w:rsidR="00B06186" w:rsidRPr="000E188B">
        <w:rPr>
          <w:rFonts w:cs="Calibri"/>
          <w:sz w:val="20"/>
          <w:szCs w:val="20"/>
        </w:rPr>
        <w:t xml:space="preserve">taking A-Level geography in areas with a ‘countryside living’ demographic (7.7% of all </w:t>
      </w:r>
      <w:r w:rsidR="00B06186" w:rsidRPr="000E188B">
        <w:rPr>
          <w:rFonts w:cs="Calibri"/>
          <w:sz w:val="20"/>
          <w:szCs w:val="20"/>
        </w:rPr>
        <w:lastRenderedPageBreak/>
        <w:t>students, versus an expectation of 6.8%) to 0.9</w:t>
      </w:r>
      <w:r w:rsidR="000D46D8" w:rsidRPr="000E188B">
        <w:rPr>
          <w:rFonts w:cs="Calibri"/>
          <w:sz w:val="20"/>
          <w:szCs w:val="20"/>
        </w:rPr>
        <w:t>p.p.</w:t>
      </w:r>
      <w:r w:rsidR="00B06186" w:rsidRPr="000E188B">
        <w:rPr>
          <w:rFonts w:cs="Calibri"/>
          <w:sz w:val="20"/>
          <w:szCs w:val="20"/>
        </w:rPr>
        <w:t xml:space="preserve"> fewer students </w:t>
      </w:r>
      <w:r w:rsidR="00F633E6" w:rsidRPr="000E188B">
        <w:rPr>
          <w:rFonts w:cs="Calibri"/>
          <w:sz w:val="20"/>
          <w:szCs w:val="20"/>
        </w:rPr>
        <w:t xml:space="preserve">than expected </w:t>
      </w:r>
      <w:r w:rsidR="00B06186" w:rsidRPr="000E188B">
        <w:rPr>
          <w:rFonts w:cs="Calibri"/>
          <w:sz w:val="20"/>
          <w:szCs w:val="20"/>
        </w:rPr>
        <w:t>taking A-L</w:t>
      </w:r>
      <w:r w:rsidR="00F633E6" w:rsidRPr="000E188B">
        <w:rPr>
          <w:rFonts w:cs="Calibri"/>
          <w:sz w:val="20"/>
          <w:szCs w:val="20"/>
        </w:rPr>
        <w:t>evel geography in areas with a ‘multicultural living’ demographic (2.6% versus 3.5%);</w:t>
      </w:r>
    </w:p>
    <w:p w14:paraId="72C91A80" w14:textId="440B2657" w:rsidR="00F633E6" w:rsidRPr="000E188B" w:rsidRDefault="000E188B" w:rsidP="00B06186">
      <w:pPr>
        <w:pStyle w:val="ListParagraph"/>
        <w:numPr>
          <w:ilvl w:val="0"/>
          <w:numId w:val="24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</w:t>
      </w:r>
      <w:r w:rsidR="00F633E6" w:rsidRPr="000E188B">
        <w:rPr>
          <w:rFonts w:cs="Calibri"/>
          <w:sz w:val="20"/>
          <w:szCs w:val="20"/>
        </w:rPr>
        <w:t>hose in coastal areas and government opportunity areas are slightly less likely to take A-Level geography than would be expected given their</w:t>
      </w:r>
      <w:r w:rsidR="00651801" w:rsidRPr="000E188B">
        <w:rPr>
          <w:rFonts w:cs="Calibri"/>
          <w:sz w:val="20"/>
          <w:szCs w:val="20"/>
        </w:rPr>
        <w:t xml:space="preserve"> prior attainment, gender</w:t>
      </w:r>
      <w:r w:rsidR="00F633E6" w:rsidRPr="000E188B">
        <w:rPr>
          <w:rFonts w:cs="Calibri"/>
          <w:sz w:val="20"/>
          <w:szCs w:val="20"/>
        </w:rPr>
        <w:t xml:space="preserve"> and the type of school they attend;</w:t>
      </w:r>
    </w:p>
    <w:p w14:paraId="73425B9A" w14:textId="4AC46E14" w:rsidR="00B06186" w:rsidRPr="000E188B" w:rsidRDefault="000E188B" w:rsidP="003B78CE">
      <w:pPr>
        <w:pStyle w:val="ListParagraph"/>
        <w:numPr>
          <w:ilvl w:val="0"/>
          <w:numId w:val="24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</w:t>
      </w:r>
      <w:r w:rsidR="00F633E6" w:rsidRPr="000E188B">
        <w:rPr>
          <w:rFonts w:cs="Calibri"/>
          <w:sz w:val="20"/>
          <w:szCs w:val="20"/>
        </w:rPr>
        <w:t xml:space="preserve">hen schools are placed into quintiles based on the percentage of their pupils eligible for free school meals, </w:t>
      </w:r>
      <w:r w:rsidR="007748FE" w:rsidRPr="000E188B">
        <w:rPr>
          <w:rFonts w:cs="Calibri"/>
          <w:sz w:val="20"/>
          <w:szCs w:val="20"/>
        </w:rPr>
        <w:t xml:space="preserve">schools in the two quintiles with the </w:t>
      </w:r>
      <w:r w:rsidR="004B6040" w:rsidRPr="000E188B">
        <w:rPr>
          <w:rFonts w:cs="Calibri"/>
          <w:sz w:val="20"/>
          <w:szCs w:val="20"/>
        </w:rPr>
        <w:t>lowest</w:t>
      </w:r>
      <w:r w:rsidR="007748FE" w:rsidRPr="000E188B">
        <w:rPr>
          <w:rFonts w:cs="Calibri"/>
          <w:sz w:val="20"/>
          <w:szCs w:val="20"/>
        </w:rPr>
        <w:t xml:space="preserve"> FSM-eligibility rates saw more pupils take A-Level geography than expected, with the most disadvantaged schools at the other end of the scale – 0.7</w:t>
      </w:r>
      <w:r w:rsidR="000D46D8" w:rsidRPr="000E188B">
        <w:rPr>
          <w:rFonts w:cs="Calibri"/>
          <w:sz w:val="20"/>
          <w:szCs w:val="20"/>
        </w:rPr>
        <w:t>p.p.</w:t>
      </w:r>
      <w:r w:rsidR="007748FE" w:rsidRPr="000E188B">
        <w:rPr>
          <w:rFonts w:cs="Calibri"/>
          <w:sz w:val="20"/>
          <w:szCs w:val="20"/>
        </w:rPr>
        <w:t xml:space="preserve"> fewer pupils took A-Level geography than expected</w:t>
      </w:r>
      <w:r w:rsidR="004B6040" w:rsidRPr="000E188B">
        <w:rPr>
          <w:rFonts w:cs="Calibri"/>
          <w:sz w:val="20"/>
          <w:szCs w:val="20"/>
        </w:rPr>
        <w:t xml:space="preserve"> (1.6% versus 2.3%)</w:t>
      </w:r>
      <w:r w:rsidR="007748FE" w:rsidRPr="000E188B">
        <w:rPr>
          <w:rFonts w:cs="Calibri"/>
          <w:sz w:val="20"/>
          <w:szCs w:val="20"/>
        </w:rPr>
        <w:t>;</w:t>
      </w:r>
    </w:p>
    <w:p w14:paraId="1472BED6" w14:textId="312D9AC6" w:rsidR="00574F7E" w:rsidRDefault="000E188B" w:rsidP="003B78CE">
      <w:pPr>
        <w:pStyle w:val="ListParagraph"/>
        <w:numPr>
          <w:ilvl w:val="0"/>
          <w:numId w:val="24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7748FE" w:rsidRPr="000E188B">
        <w:rPr>
          <w:rFonts w:cs="Calibri"/>
          <w:sz w:val="20"/>
          <w:szCs w:val="20"/>
        </w:rPr>
        <w:t>onverter academies – which generally started as high-performing community schools – are the only type of scho</w:t>
      </w:r>
      <w:r w:rsidR="00FD7033" w:rsidRPr="000E188B">
        <w:rPr>
          <w:rFonts w:cs="Calibri"/>
          <w:sz w:val="20"/>
          <w:szCs w:val="20"/>
        </w:rPr>
        <w:t>ol that sees more pupils take A-Level geography than expected, when schools are considered by governance type;</w:t>
      </w:r>
    </w:p>
    <w:p w14:paraId="3D976CAE" w14:textId="55E7F41F" w:rsidR="00574F7E" w:rsidRPr="00574F7E" w:rsidRDefault="00574F7E" w:rsidP="00574F7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A8D2B23" w14:textId="55E7F41F" w:rsidR="00B06186" w:rsidRPr="00574F7E" w:rsidRDefault="00FD7033" w:rsidP="00C60EE2">
      <w:pPr>
        <w:pStyle w:val="ListParagraph"/>
        <w:numPr>
          <w:ilvl w:val="0"/>
          <w:numId w:val="24"/>
        </w:numPr>
        <w:spacing w:after="160" w:line="259" w:lineRule="auto"/>
        <w:rPr>
          <w:sz w:val="20"/>
          <w:szCs w:val="20"/>
        </w:rPr>
      </w:pPr>
      <w:r w:rsidRPr="00574F7E">
        <w:rPr>
          <w:rFonts w:cs="Calibri"/>
          <w:sz w:val="20"/>
          <w:szCs w:val="20"/>
        </w:rPr>
        <w:lastRenderedPageBreak/>
        <w:t xml:space="preserve">d attended </w:t>
      </w:r>
      <w:r w:rsidRPr="00574F7E">
        <w:rPr>
          <w:rFonts w:cs="Calibri"/>
          <w:i/>
          <w:sz w:val="20"/>
          <w:szCs w:val="20"/>
        </w:rPr>
        <w:t xml:space="preserve">inadequate </w:t>
      </w:r>
      <w:r w:rsidRPr="00574F7E">
        <w:rPr>
          <w:rFonts w:cs="Calibri"/>
          <w:sz w:val="20"/>
          <w:szCs w:val="20"/>
        </w:rPr>
        <w:t>schools (2.0% versus 2.4</w:t>
      </w:r>
      <w:r w:rsidR="00B5492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3060FA" wp14:editId="3F6E7D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2900" cy="5404762"/>
                <wp:effectExtent l="0" t="0" r="10795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900" cy="5404762"/>
                          <a:chOff x="0" y="0"/>
                          <a:chExt cx="5357138" cy="5242837"/>
                        </a:xfrm>
                      </wpg:grpSpPr>
                      <wpg:graphicFrame>
                        <wpg:cNvPr id="5" name="Chart 5"/>
                        <wpg:cNvFrPr>
                          <a:graphicFrameLocks/>
                        </wpg:cNvFrPr>
                        <wpg:xfrm>
                          <a:off x="0" y="0"/>
                          <a:ext cx="5357138" cy="524283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  <wps:wsp>
                        <wps:cNvPr id="6" name="Straight Connector 6"/>
                        <wps:cNvCnPr/>
                        <wps:spPr>
                          <a:xfrm flipV="1">
                            <a:off x="730141" y="594803"/>
                            <a:ext cx="4226942" cy="409786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B7096" id="Group 1" o:spid="_x0000_s1026" style="position:absolute;margin-left:0;margin-top:0;width:452.2pt;height:425.55pt;z-index:251661312;mso-width-relative:margin;mso-height-relative:margin" coordsize="53571,52428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5" o:spid="_x0000_s1027" type="#_x0000_t75" style="position:absolute;width:53567;height:524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">
                  <v:imagedata r:id="rId15" o:title=""/>
                  <o:lock v:ext="edit" aspectratio="f"/>
                </v:shape>
                <v:line id="Straight Connector 6" o:spid="_x0000_s1028" style="position:absolute;flip:y;visibility:visible;mso-wrap-style:square" from="7301,5948" to="49570,46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s3K8QAAADaAAAADwAAAGRycy9kb3ducmV2LnhtbESP3WrCQBSE7wt9h+UUvNONP0iJriJC&#10;NYK01KrXh+xpkjZ7NmbXJL69WxB6OczMN8x82ZlSNFS7wrKC4SACQZxaXXCm4Pj11n8F4TyyxtIy&#10;KbiRg+Xi+WmOsbYtf1Jz8JkIEHYxKsi9r2IpXZqTQTewFXHwvm1t0AdZZ1LX2Aa4KeUoiqbSYMFh&#10;IceK1jmlv4erUbDffIzX29P7tWmTJLpMfprzeCeV6r10qxkIT53/Dz/aiVYwhb8r4Qb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WzcrxAAAANoAAAAPAAAAAAAAAAAA&#10;AAAAAKECAABkcnMvZG93bnJldi54bWxQSwUGAAAAAAQABAD5AAAAkgMAAAAA&#10;" strokecolor="#959595 [3215]" strokeweight=".5pt">
                  <v:stroke dashstyle="dash" joinstyle="miter"/>
                </v:line>
              </v:group>
            </w:pict>
          </mc:Fallback>
        </mc:AlternateContent>
      </w:r>
    </w:p>
    <w:sectPr w:rsidR="00B06186" w:rsidRPr="00574F7E" w:rsidSect="003A144A">
      <w:footerReference w:type="defaul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8B8FA" w14:textId="77777777" w:rsidR="0013632C" w:rsidRDefault="0013632C" w:rsidP="000F4E7E">
      <w:r>
        <w:separator/>
      </w:r>
    </w:p>
  </w:endnote>
  <w:endnote w:type="continuationSeparator" w:id="0">
    <w:p w14:paraId="20B770F3" w14:textId="77777777" w:rsidR="0013632C" w:rsidRDefault="0013632C" w:rsidP="000F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A3685" w14:textId="1303F77A" w:rsidR="002C0FA4" w:rsidRDefault="002C0FA4">
    <w:pPr>
      <w:pStyle w:val="Footer"/>
      <w:jc w:val="center"/>
    </w:pPr>
  </w:p>
  <w:p w14:paraId="01EDF151" w14:textId="0FE16622" w:rsidR="002C0FA4" w:rsidRDefault="002C0FA4" w:rsidP="00CC2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3880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8875B" w14:textId="43278B3B" w:rsidR="002C0FA4" w:rsidRDefault="002C0F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F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612B48" w14:textId="4C2AF4A7" w:rsidR="002C0FA4" w:rsidRDefault="002C0FA4" w:rsidP="006D15D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8C234" w14:textId="77777777" w:rsidR="0013632C" w:rsidRDefault="0013632C" w:rsidP="000F4E7E">
      <w:r>
        <w:separator/>
      </w:r>
    </w:p>
  </w:footnote>
  <w:footnote w:type="continuationSeparator" w:id="0">
    <w:p w14:paraId="45A0E305" w14:textId="77777777" w:rsidR="0013632C" w:rsidRDefault="0013632C" w:rsidP="000F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15A3"/>
    <w:multiLevelType w:val="hybridMultilevel"/>
    <w:tmpl w:val="6AF4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337"/>
    <w:multiLevelType w:val="multilevel"/>
    <w:tmpl w:val="A568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80CFD"/>
    <w:multiLevelType w:val="hybridMultilevel"/>
    <w:tmpl w:val="D02A9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3775"/>
    <w:multiLevelType w:val="hybridMultilevel"/>
    <w:tmpl w:val="637C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7D45"/>
    <w:multiLevelType w:val="hybridMultilevel"/>
    <w:tmpl w:val="48C2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6491"/>
    <w:multiLevelType w:val="hybridMultilevel"/>
    <w:tmpl w:val="BDDC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F412B"/>
    <w:multiLevelType w:val="hybridMultilevel"/>
    <w:tmpl w:val="C054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E1326"/>
    <w:multiLevelType w:val="hybridMultilevel"/>
    <w:tmpl w:val="7398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E36"/>
    <w:multiLevelType w:val="hybridMultilevel"/>
    <w:tmpl w:val="78F02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47741"/>
    <w:multiLevelType w:val="hybridMultilevel"/>
    <w:tmpl w:val="9B34A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55D9"/>
    <w:multiLevelType w:val="hybridMultilevel"/>
    <w:tmpl w:val="78E2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642BD"/>
    <w:multiLevelType w:val="hybridMultilevel"/>
    <w:tmpl w:val="18B68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22692"/>
    <w:multiLevelType w:val="hybridMultilevel"/>
    <w:tmpl w:val="E8A0C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23FA6"/>
    <w:multiLevelType w:val="hybridMultilevel"/>
    <w:tmpl w:val="2D1E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842D1"/>
    <w:multiLevelType w:val="hybridMultilevel"/>
    <w:tmpl w:val="0E621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E12E4"/>
    <w:multiLevelType w:val="hybridMultilevel"/>
    <w:tmpl w:val="EB14F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87DF3"/>
    <w:multiLevelType w:val="hybridMultilevel"/>
    <w:tmpl w:val="6D72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C2981"/>
    <w:multiLevelType w:val="hybridMultilevel"/>
    <w:tmpl w:val="EB48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6074B"/>
    <w:multiLevelType w:val="hybridMultilevel"/>
    <w:tmpl w:val="32A40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E0B70"/>
    <w:multiLevelType w:val="hybridMultilevel"/>
    <w:tmpl w:val="174A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E2CA6"/>
    <w:multiLevelType w:val="hybridMultilevel"/>
    <w:tmpl w:val="2B98D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72F4B"/>
    <w:multiLevelType w:val="hybridMultilevel"/>
    <w:tmpl w:val="168A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D00E9"/>
    <w:multiLevelType w:val="hybridMultilevel"/>
    <w:tmpl w:val="16BC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10"/>
  </w:num>
  <w:num w:numId="5">
    <w:abstractNumId w:val="20"/>
  </w:num>
  <w:num w:numId="6">
    <w:abstractNumId w:val="19"/>
  </w:num>
  <w:num w:numId="7">
    <w:abstractNumId w:val="7"/>
  </w:num>
  <w:num w:numId="8">
    <w:abstractNumId w:val="18"/>
  </w:num>
  <w:num w:numId="9">
    <w:abstractNumId w:val="17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6"/>
  </w:num>
  <w:num w:numId="15">
    <w:abstractNumId w:val="21"/>
  </w:num>
  <w:num w:numId="16">
    <w:abstractNumId w:val="12"/>
  </w:num>
  <w:num w:numId="17">
    <w:abstractNumId w:val="2"/>
  </w:num>
  <w:num w:numId="18">
    <w:abstractNumId w:val="5"/>
  </w:num>
  <w:num w:numId="19">
    <w:abstractNumId w:val="4"/>
  </w:num>
  <w:num w:numId="20">
    <w:abstractNumId w:val="11"/>
  </w:num>
  <w:num w:numId="21">
    <w:abstractNumId w:val="16"/>
  </w:num>
  <w:num w:numId="22">
    <w:abstractNumId w:val="1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13"/>
    <w:rsid w:val="00000C5E"/>
    <w:rsid w:val="00012858"/>
    <w:rsid w:val="00013D8B"/>
    <w:rsid w:val="000148F3"/>
    <w:rsid w:val="0002162B"/>
    <w:rsid w:val="00072460"/>
    <w:rsid w:val="00075BFB"/>
    <w:rsid w:val="00083A3B"/>
    <w:rsid w:val="0009234F"/>
    <w:rsid w:val="000A13D9"/>
    <w:rsid w:val="000A1593"/>
    <w:rsid w:val="000A1712"/>
    <w:rsid w:val="000A4D2D"/>
    <w:rsid w:val="000A70EB"/>
    <w:rsid w:val="000B14CB"/>
    <w:rsid w:val="000B4279"/>
    <w:rsid w:val="000B69BD"/>
    <w:rsid w:val="000B6E49"/>
    <w:rsid w:val="000D2107"/>
    <w:rsid w:val="000D46D8"/>
    <w:rsid w:val="000E188B"/>
    <w:rsid w:val="000F4E7E"/>
    <w:rsid w:val="0012135E"/>
    <w:rsid w:val="0013632C"/>
    <w:rsid w:val="00145023"/>
    <w:rsid w:val="00151F07"/>
    <w:rsid w:val="00167ADC"/>
    <w:rsid w:val="00170639"/>
    <w:rsid w:val="00190B37"/>
    <w:rsid w:val="001A160D"/>
    <w:rsid w:val="001A569D"/>
    <w:rsid w:val="001A6913"/>
    <w:rsid w:val="001B5FF3"/>
    <w:rsid w:val="001D61D8"/>
    <w:rsid w:val="001F6950"/>
    <w:rsid w:val="00201A9C"/>
    <w:rsid w:val="0020389E"/>
    <w:rsid w:val="00215B77"/>
    <w:rsid w:val="002163A2"/>
    <w:rsid w:val="00216499"/>
    <w:rsid w:val="002236E5"/>
    <w:rsid w:val="002238D8"/>
    <w:rsid w:val="00225A57"/>
    <w:rsid w:val="00265F50"/>
    <w:rsid w:val="00286EE6"/>
    <w:rsid w:val="002A5FCC"/>
    <w:rsid w:val="002A7375"/>
    <w:rsid w:val="002C0BA3"/>
    <w:rsid w:val="002C0FA4"/>
    <w:rsid w:val="002C4366"/>
    <w:rsid w:val="002C77B0"/>
    <w:rsid w:val="002E063A"/>
    <w:rsid w:val="002E60FC"/>
    <w:rsid w:val="002F04E4"/>
    <w:rsid w:val="002F7867"/>
    <w:rsid w:val="0032419B"/>
    <w:rsid w:val="00344980"/>
    <w:rsid w:val="00350AF9"/>
    <w:rsid w:val="00360E04"/>
    <w:rsid w:val="00362625"/>
    <w:rsid w:val="0037044D"/>
    <w:rsid w:val="003812A1"/>
    <w:rsid w:val="0038626D"/>
    <w:rsid w:val="00391AFE"/>
    <w:rsid w:val="00393FE8"/>
    <w:rsid w:val="003A144A"/>
    <w:rsid w:val="003A3F37"/>
    <w:rsid w:val="003A441D"/>
    <w:rsid w:val="003B78CE"/>
    <w:rsid w:val="003D3477"/>
    <w:rsid w:val="003D7154"/>
    <w:rsid w:val="003D7976"/>
    <w:rsid w:val="003F0436"/>
    <w:rsid w:val="003F5BBB"/>
    <w:rsid w:val="003F7ED8"/>
    <w:rsid w:val="00402F4C"/>
    <w:rsid w:val="004331C8"/>
    <w:rsid w:val="00480DEB"/>
    <w:rsid w:val="00481529"/>
    <w:rsid w:val="00484A7F"/>
    <w:rsid w:val="004857ED"/>
    <w:rsid w:val="004B6040"/>
    <w:rsid w:val="004D7DBC"/>
    <w:rsid w:val="00501FCC"/>
    <w:rsid w:val="00525CA5"/>
    <w:rsid w:val="005261CC"/>
    <w:rsid w:val="00531955"/>
    <w:rsid w:val="0054445C"/>
    <w:rsid w:val="00546AAA"/>
    <w:rsid w:val="005529CC"/>
    <w:rsid w:val="0056173B"/>
    <w:rsid w:val="005662A6"/>
    <w:rsid w:val="00574F7E"/>
    <w:rsid w:val="005A4EE8"/>
    <w:rsid w:val="005A6FB3"/>
    <w:rsid w:val="005C118C"/>
    <w:rsid w:val="005C3022"/>
    <w:rsid w:val="005E3034"/>
    <w:rsid w:val="005F5D1E"/>
    <w:rsid w:val="00600741"/>
    <w:rsid w:val="0062037C"/>
    <w:rsid w:val="006224FD"/>
    <w:rsid w:val="00624088"/>
    <w:rsid w:val="006270BA"/>
    <w:rsid w:val="00630CC1"/>
    <w:rsid w:val="00651801"/>
    <w:rsid w:val="00660875"/>
    <w:rsid w:val="006741B7"/>
    <w:rsid w:val="00682032"/>
    <w:rsid w:val="006903D9"/>
    <w:rsid w:val="00693F8C"/>
    <w:rsid w:val="006C57C2"/>
    <w:rsid w:val="006D15DA"/>
    <w:rsid w:val="006E461B"/>
    <w:rsid w:val="006F7176"/>
    <w:rsid w:val="007150BE"/>
    <w:rsid w:val="0072795E"/>
    <w:rsid w:val="00735D8C"/>
    <w:rsid w:val="007362F4"/>
    <w:rsid w:val="00736465"/>
    <w:rsid w:val="00736FB8"/>
    <w:rsid w:val="0073742B"/>
    <w:rsid w:val="007748FE"/>
    <w:rsid w:val="00774ED7"/>
    <w:rsid w:val="00780296"/>
    <w:rsid w:val="007A6A2A"/>
    <w:rsid w:val="007B40CD"/>
    <w:rsid w:val="007C7B3C"/>
    <w:rsid w:val="007E10C3"/>
    <w:rsid w:val="007E357A"/>
    <w:rsid w:val="007F7261"/>
    <w:rsid w:val="00803A18"/>
    <w:rsid w:val="00823D31"/>
    <w:rsid w:val="008446E5"/>
    <w:rsid w:val="0085774E"/>
    <w:rsid w:val="00870D79"/>
    <w:rsid w:val="008725E3"/>
    <w:rsid w:val="00892E6F"/>
    <w:rsid w:val="008A1B00"/>
    <w:rsid w:val="008B0C8D"/>
    <w:rsid w:val="008B2A19"/>
    <w:rsid w:val="008C6F41"/>
    <w:rsid w:val="008D066F"/>
    <w:rsid w:val="008D2BB4"/>
    <w:rsid w:val="008E7650"/>
    <w:rsid w:val="008F4199"/>
    <w:rsid w:val="0092067A"/>
    <w:rsid w:val="00934F4D"/>
    <w:rsid w:val="00937BEC"/>
    <w:rsid w:val="009833BE"/>
    <w:rsid w:val="00996560"/>
    <w:rsid w:val="009B2399"/>
    <w:rsid w:val="009B6F06"/>
    <w:rsid w:val="009C289F"/>
    <w:rsid w:val="009F6389"/>
    <w:rsid w:val="009F6E00"/>
    <w:rsid w:val="00A04D9B"/>
    <w:rsid w:val="00A1207D"/>
    <w:rsid w:val="00A2238F"/>
    <w:rsid w:val="00A35D04"/>
    <w:rsid w:val="00A4160C"/>
    <w:rsid w:val="00A67110"/>
    <w:rsid w:val="00A91EFF"/>
    <w:rsid w:val="00AA121B"/>
    <w:rsid w:val="00AA2799"/>
    <w:rsid w:val="00AA4FDA"/>
    <w:rsid w:val="00AB0BE3"/>
    <w:rsid w:val="00AB40F4"/>
    <w:rsid w:val="00AD060E"/>
    <w:rsid w:val="00AD725C"/>
    <w:rsid w:val="00AF29C8"/>
    <w:rsid w:val="00AF44DB"/>
    <w:rsid w:val="00AF582E"/>
    <w:rsid w:val="00AF5EAA"/>
    <w:rsid w:val="00B0193E"/>
    <w:rsid w:val="00B01A55"/>
    <w:rsid w:val="00B02933"/>
    <w:rsid w:val="00B04BB5"/>
    <w:rsid w:val="00B06186"/>
    <w:rsid w:val="00B1374D"/>
    <w:rsid w:val="00B140A7"/>
    <w:rsid w:val="00B16CAE"/>
    <w:rsid w:val="00B24A13"/>
    <w:rsid w:val="00B4688C"/>
    <w:rsid w:val="00B54923"/>
    <w:rsid w:val="00B60343"/>
    <w:rsid w:val="00B62C77"/>
    <w:rsid w:val="00B65385"/>
    <w:rsid w:val="00B76BE4"/>
    <w:rsid w:val="00B818DE"/>
    <w:rsid w:val="00B86037"/>
    <w:rsid w:val="00B87CBF"/>
    <w:rsid w:val="00BA3FB7"/>
    <w:rsid w:val="00BC2A94"/>
    <w:rsid w:val="00BE646E"/>
    <w:rsid w:val="00BF469D"/>
    <w:rsid w:val="00C02DA7"/>
    <w:rsid w:val="00C31937"/>
    <w:rsid w:val="00C338B5"/>
    <w:rsid w:val="00C47C0D"/>
    <w:rsid w:val="00C53F9F"/>
    <w:rsid w:val="00C85D4B"/>
    <w:rsid w:val="00C87E44"/>
    <w:rsid w:val="00CC2619"/>
    <w:rsid w:val="00CF10E1"/>
    <w:rsid w:val="00CF131E"/>
    <w:rsid w:val="00D158BC"/>
    <w:rsid w:val="00D16A7D"/>
    <w:rsid w:val="00D17BB9"/>
    <w:rsid w:val="00D41D06"/>
    <w:rsid w:val="00D660A0"/>
    <w:rsid w:val="00D67566"/>
    <w:rsid w:val="00D71963"/>
    <w:rsid w:val="00D9701F"/>
    <w:rsid w:val="00DB7F74"/>
    <w:rsid w:val="00DC3DA9"/>
    <w:rsid w:val="00E06597"/>
    <w:rsid w:val="00E109F7"/>
    <w:rsid w:val="00E10E41"/>
    <w:rsid w:val="00E3258C"/>
    <w:rsid w:val="00E474C4"/>
    <w:rsid w:val="00E74C09"/>
    <w:rsid w:val="00EB0F25"/>
    <w:rsid w:val="00EB40BC"/>
    <w:rsid w:val="00EB567C"/>
    <w:rsid w:val="00EC50B1"/>
    <w:rsid w:val="00EC59B6"/>
    <w:rsid w:val="00ED26BF"/>
    <w:rsid w:val="00F041F1"/>
    <w:rsid w:val="00F041FC"/>
    <w:rsid w:val="00F13190"/>
    <w:rsid w:val="00F45FBA"/>
    <w:rsid w:val="00F633E6"/>
    <w:rsid w:val="00F76609"/>
    <w:rsid w:val="00F85760"/>
    <w:rsid w:val="00F947C7"/>
    <w:rsid w:val="00F97B7C"/>
    <w:rsid w:val="00FB6B5C"/>
    <w:rsid w:val="00FC22B1"/>
    <w:rsid w:val="00FC6AE4"/>
    <w:rsid w:val="00FC6E7B"/>
    <w:rsid w:val="00FD7033"/>
    <w:rsid w:val="00FE118E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D62141"/>
  <w15:chartTrackingRefBased/>
  <w15:docId w15:val="{70E9D21D-600F-45D2-A065-D26CD47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1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C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C005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C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C005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C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2003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0C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C005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0C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C005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0C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2003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9BD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00C5E"/>
    <w:rPr>
      <w:rFonts w:asciiTheme="majorHAnsi" w:eastAsiaTheme="majorEastAsia" w:hAnsiTheme="majorHAnsi" w:cstheme="majorBidi"/>
      <w:color w:val="AC005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0C5E"/>
    <w:rPr>
      <w:rFonts w:asciiTheme="majorHAnsi" w:eastAsiaTheme="majorEastAsia" w:hAnsiTheme="majorHAnsi" w:cstheme="majorBidi"/>
      <w:color w:val="AC005D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C5E"/>
    <w:rPr>
      <w:rFonts w:asciiTheme="majorHAnsi" w:eastAsiaTheme="majorEastAsia" w:hAnsiTheme="majorHAnsi" w:cstheme="majorBidi"/>
      <w:color w:val="72003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0C5E"/>
    <w:rPr>
      <w:rFonts w:asciiTheme="majorHAnsi" w:eastAsiaTheme="majorEastAsia" w:hAnsiTheme="majorHAnsi" w:cstheme="majorBidi"/>
      <w:i/>
      <w:iCs/>
      <w:color w:val="AC005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00C5E"/>
    <w:rPr>
      <w:rFonts w:asciiTheme="majorHAnsi" w:eastAsiaTheme="majorEastAsia" w:hAnsiTheme="majorHAnsi" w:cstheme="majorBidi"/>
      <w:color w:val="AC005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00C5E"/>
    <w:rPr>
      <w:rFonts w:asciiTheme="majorHAnsi" w:eastAsiaTheme="majorEastAsia" w:hAnsiTheme="majorHAnsi" w:cstheme="majorBidi"/>
      <w:color w:val="72003E" w:themeColor="accent1" w:themeShade="7F"/>
    </w:rPr>
  </w:style>
  <w:style w:type="character" w:styleId="Hyperlink">
    <w:name w:val="Hyperlink"/>
    <w:basedOn w:val="DefaultParagraphFont"/>
    <w:uiPriority w:val="99"/>
    <w:unhideWhenUsed/>
    <w:rsid w:val="008725E3"/>
    <w:rPr>
      <w:color w:val="E6007E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A9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A9C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33BE"/>
    <w:rPr>
      <w:color w:val="AC005E" w:themeColor="followedHyperlink"/>
      <w:u w:val="single"/>
    </w:rPr>
  </w:style>
  <w:style w:type="table" w:styleId="TableGrid">
    <w:name w:val="Table Grid"/>
    <w:basedOn w:val="TableNormal"/>
    <w:uiPriority w:val="39"/>
    <w:rsid w:val="000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F4E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4E7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E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5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76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5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760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72460"/>
    <w:pPr>
      <w:spacing w:after="0" w:line="240" w:lineRule="auto"/>
    </w:pPr>
    <w:rPr>
      <w:rFonts w:ascii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774ED7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74E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4E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4ED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s.gov.uk/methodology/geography/geographicalproducts/areaclassifications/2011areaclassifications/dataset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gov.uk/government/collections/national-pupil-databas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jsou\Desktop\Messages%20on%20Geography\Materials%20to%20go%20online\.ptmp70145\rgs_ks4progress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GB">
                <a:latin typeface="+mj-lt"/>
              </a:rPr>
              <a:t>Actual</a:t>
            </a:r>
            <a:r>
              <a:rPr lang="en-GB" baseline="0">
                <a:latin typeface="+mj-lt"/>
              </a:rPr>
              <a:t> versus expected entry into A-Level geography </a:t>
            </a:r>
            <a:r>
              <a:rPr lang="en-GB">
                <a:latin typeface="+mj-lt"/>
              </a:rPr>
              <a:t>by ethnicity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600798534146238"/>
          <c:y val="0.11490946512871344"/>
          <c:w val="0.78936599950325925"/>
          <c:h val="0.78200756527458082"/>
        </c:manualLayout>
      </c:layout>
      <c:scatterChart>
        <c:scatterStyle val="lineMarker"/>
        <c:varyColors val="1"/>
        <c:ser>
          <c:idx val="0"/>
          <c:order val="0"/>
          <c:spPr>
            <a:ln w="25400">
              <a:noFill/>
            </a:ln>
          </c:spPr>
          <c:marker>
            <c:symbol val="circle"/>
            <c:size val="7"/>
          </c:marker>
          <c:dPt>
            <c:idx val="0"/>
            <c:marker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2540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405-4D87-BC94-B49F6A70A1A5}"/>
              </c:ext>
            </c:extLst>
          </c:dPt>
          <c:dPt>
            <c:idx val="1"/>
            <c:marker>
              <c:spPr>
                <a:solidFill>
                  <a:schemeClr val="accent2"/>
                </a:solidFill>
                <a:ln w="9525">
                  <a:solidFill>
                    <a:schemeClr val="accent2"/>
                  </a:solidFill>
                </a:ln>
                <a:effectLst/>
              </c:spPr>
            </c:marker>
            <c:bubble3D val="0"/>
            <c:spPr>
              <a:ln w="2540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405-4D87-BC94-B49F6A70A1A5}"/>
              </c:ext>
            </c:extLst>
          </c:dPt>
          <c:dPt>
            <c:idx val="2"/>
            <c:marker>
              <c:spPr>
                <a:solidFill>
                  <a:schemeClr val="accent3"/>
                </a:solidFill>
                <a:ln w="9525">
                  <a:solidFill>
                    <a:schemeClr val="accent3"/>
                  </a:solidFill>
                </a:ln>
                <a:effectLst/>
              </c:spPr>
            </c:marker>
            <c:bubble3D val="0"/>
            <c:spPr>
              <a:ln w="2540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405-4D87-BC94-B49F6A70A1A5}"/>
              </c:ext>
            </c:extLst>
          </c:dPt>
          <c:dPt>
            <c:idx val="3"/>
            <c:marker>
              <c:spPr>
                <a:solidFill>
                  <a:schemeClr val="accent4"/>
                </a:solidFill>
                <a:ln w="9525">
                  <a:solidFill>
                    <a:schemeClr val="accent4"/>
                  </a:solidFill>
                </a:ln>
                <a:effectLst/>
              </c:spPr>
            </c:marker>
            <c:bubble3D val="0"/>
            <c:spPr>
              <a:ln w="2540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A-3405-4D87-BC94-B49F6A70A1A5}"/>
              </c:ext>
            </c:extLst>
          </c:dPt>
          <c:dPt>
            <c:idx val="4"/>
            <c:marker>
              <c:spPr>
                <a:solidFill>
                  <a:schemeClr val="accent5"/>
                </a:solidFill>
                <a:ln w="9525">
                  <a:solidFill>
                    <a:schemeClr val="accent5"/>
                  </a:solidFill>
                </a:ln>
                <a:effectLst/>
              </c:spPr>
            </c:marker>
            <c:bubble3D val="0"/>
            <c:spPr>
              <a:ln w="2540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405-4D87-BC94-B49F6A70A1A5}"/>
              </c:ext>
            </c:extLst>
          </c:dPt>
          <c:dPt>
            <c:idx val="5"/>
            <c:marker>
              <c:spPr>
                <a:solidFill>
                  <a:schemeClr val="accent6"/>
                </a:solidFill>
                <a:ln w="9525">
                  <a:solidFill>
                    <a:schemeClr val="accent6"/>
                  </a:solidFill>
                </a:ln>
                <a:effectLst/>
              </c:spPr>
            </c:marker>
            <c:bubble3D val="0"/>
            <c:spPr>
              <a:ln w="2540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405-4D87-BC94-B49F6A70A1A5}"/>
              </c:ext>
            </c:extLst>
          </c:dPt>
          <c:dPt>
            <c:idx val="6"/>
            <c:marker>
              <c:spPr>
                <a:solidFill>
                  <a:schemeClr val="accent1">
                    <a:lumMod val="60000"/>
                  </a:schemeClr>
                </a:solidFill>
                <a:ln w="9525">
                  <a:solidFill>
                    <a:schemeClr val="accent1">
                      <a:lumMod val="60000"/>
                    </a:schemeClr>
                  </a:solidFill>
                </a:ln>
                <a:effectLst/>
              </c:spPr>
            </c:marker>
            <c:bubble3D val="0"/>
            <c:spPr>
              <a:ln w="2540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8-3405-4D87-BC94-B49F6A70A1A5}"/>
              </c:ext>
            </c:extLst>
          </c:dPt>
          <c:dLbls>
            <c:dLbl>
              <c:idx val="0"/>
              <c:layout>
                <c:manualLayout>
                  <c:x val="-3.5385802770123195E-2"/>
                  <c:y val="-8.9692882722931702E-2"/>
                </c:manualLayout>
              </c:layout>
              <c:tx>
                <c:rich>
                  <a:bodyPr/>
                  <a:lstStyle/>
                  <a:p>
                    <a:fld id="{081FA6E6-469A-4184-98C3-E628D9B581A0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3405-4D87-BC94-B49F6A70A1A5}"/>
                </c:ext>
              </c:extLst>
            </c:dLbl>
            <c:dLbl>
              <c:idx val="1"/>
              <c:layout>
                <c:manualLayout>
                  <c:x val="2.5949588698090331E-2"/>
                  <c:y val="4.7206780380490365E-2"/>
                </c:manualLayout>
              </c:layout>
              <c:tx>
                <c:rich>
                  <a:bodyPr/>
                  <a:lstStyle/>
                  <a:p>
                    <a:fld id="{F53BDC75-2B64-47C5-AD95-D5456EF323B3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3405-4D87-BC94-B49F6A70A1A5}"/>
                </c:ext>
              </c:extLst>
            </c:dLbl>
            <c:dLbl>
              <c:idx val="2"/>
              <c:layout>
                <c:manualLayout>
                  <c:x val="3.7744856288131456E-2"/>
                  <c:y val="3.0684407247318825E-2"/>
                </c:manualLayout>
              </c:layout>
              <c:tx>
                <c:rich>
                  <a:bodyPr/>
                  <a:lstStyle/>
                  <a:p>
                    <a:fld id="{145F9319-21D9-4C06-B943-6C43A5D1A86A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3405-4D87-BC94-B49F6A70A1A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C7585B1-A444-4B19-8A36-481F50A88067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A-3405-4D87-BC94-B49F6A70A1A5}"/>
                </c:ext>
              </c:extLst>
            </c:dLbl>
            <c:dLbl>
              <c:idx val="4"/>
              <c:layout>
                <c:manualLayout>
                  <c:x val="2.3590535180082115E-2"/>
                  <c:y val="-1.1801695095122591E-2"/>
                </c:manualLayout>
              </c:layout>
              <c:tx>
                <c:rich>
                  <a:bodyPr/>
                  <a:lstStyle/>
                  <a:p>
                    <a:fld id="{82C84C59-F6E9-47D8-B47D-6027ED7C2A70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3405-4D87-BC94-B49F6A70A1A5}"/>
                </c:ext>
              </c:extLst>
            </c:dLbl>
            <c:dLbl>
              <c:idx val="5"/>
              <c:layout>
                <c:manualLayout>
                  <c:x val="3.3026749252115024E-2"/>
                  <c:y val="1.8882712152196189E-2"/>
                </c:manualLayout>
              </c:layout>
              <c:tx>
                <c:rich>
                  <a:bodyPr/>
                  <a:lstStyle/>
                  <a:p>
                    <a:fld id="{C8280A9B-F75F-4C23-B363-9397C0F559C2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3405-4D87-BC94-B49F6A70A1A5}"/>
                </c:ext>
              </c:extLst>
            </c:dLbl>
            <c:dLbl>
              <c:idx val="6"/>
              <c:layout>
                <c:manualLayout>
                  <c:x val="-0.18636522792264906"/>
                  <c:y val="-9.2053221741956209E-2"/>
                </c:manualLayout>
              </c:layout>
              <c:tx>
                <c:rich>
                  <a:bodyPr/>
                  <a:lstStyle/>
                  <a:p>
                    <a:fld id="{1AD223FB-6371-4538-AD63-2F7FE9F19AF2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3405-4D87-BC94-B49F6A70A1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Ethnicity!$F$4:$F$10</c:f>
              <c:numCache>
                <c:formatCode>0.0%</c:formatCode>
                <c:ptCount val="7"/>
                <c:pt idx="0">
                  <c:v>0.05</c:v>
                </c:pt>
                <c:pt idx="1">
                  <c:v>3.4000000000000002E-2</c:v>
                </c:pt>
                <c:pt idx="2">
                  <c:v>5.0999999999999997E-2</c:v>
                </c:pt>
                <c:pt idx="3">
                  <c:v>8.3000000000000004E-2</c:v>
                </c:pt>
                <c:pt idx="4">
                  <c:v>4.8000000000000001E-2</c:v>
                </c:pt>
                <c:pt idx="5">
                  <c:v>0.13800000000000001</c:v>
                </c:pt>
                <c:pt idx="6">
                  <c:v>4.3999999999999997E-2</c:v>
                </c:pt>
              </c:numCache>
            </c:numRef>
          </c:xVal>
          <c:yVal>
            <c:numRef>
              <c:f>Ethnicity!$G$4:$G$10</c:f>
              <c:numCache>
                <c:formatCode>0.0%</c:formatCode>
                <c:ptCount val="7"/>
                <c:pt idx="0">
                  <c:v>5.1999999999999998E-2</c:v>
                </c:pt>
                <c:pt idx="1">
                  <c:v>2.3E-2</c:v>
                </c:pt>
                <c:pt idx="2">
                  <c:v>3.5000000000000003E-2</c:v>
                </c:pt>
                <c:pt idx="3">
                  <c:v>6.7000000000000004E-2</c:v>
                </c:pt>
                <c:pt idx="4">
                  <c:v>3.9E-2</c:v>
                </c:pt>
                <c:pt idx="5">
                  <c:v>0.14099999999999999</c:v>
                </c:pt>
                <c:pt idx="6">
                  <c:v>0.04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datalabelsRange>
                <c15:f>Ethnicity!$B$4:$B$10</c15:f>
                <c15:dlblRangeCache>
                  <c:ptCount val="7"/>
                  <c:pt idx="0">
                    <c:v>White</c:v>
                  </c:pt>
                  <c:pt idx="1">
                    <c:v>Black or black British</c:v>
                  </c:pt>
                  <c:pt idx="2">
                    <c:v>Asian or Asian British</c:v>
                  </c:pt>
                  <c:pt idx="3">
                    <c:v>Chinese</c:v>
                  </c:pt>
                  <c:pt idx="4">
                    <c:v>Mixed</c:v>
                  </c:pt>
                  <c:pt idx="5">
                    <c:v>Not available</c:v>
                  </c:pt>
                  <c:pt idx="6">
                    <c:v>Not obtained/refused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6-3405-4D87-BC94-B49F6A70A1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2141824"/>
        <c:axId val="2102153248"/>
      </c:scatterChart>
      <c:valAx>
        <c:axId val="2102141824"/>
        <c:scaling>
          <c:orientation val="minMax"/>
          <c:max val="0.2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900"/>
                  <a:t>Predicted to enter A-Level geography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2153248"/>
        <c:crosses val="autoZero"/>
        <c:crossBetween val="midCat"/>
        <c:majorUnit val="5.000000000000001E-2"/>
      </c:valAx>
      <c:valAx>
        <c:axId val="2102153248"/>
        <c:scaling>
          <c:orientation val="minMax"/>
          <c:max val="0.2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900"/>
                  <a:t>Entered</a:t>
                </a:r>
                <a:r>
                  <a:rPr lang="en-GB" sz="900" baseline="0"/>
                  <a:t> A-Level geography</a:t>
                </a:r>
                <a:endParaRPr lang="en-GB" sz="90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2141824"/>
        <c:crosses val="autoZero"/>
        <c:crossBetween val="midCat"/>
        <c:majorUnit val="5.000000000000001E-2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FFT">
  <a:themeElements>
    <a:clrScheme name="FFT">
      <a:dk1>
        <a:srgbClr val="535353"/>
      </a:dk1>
      <a:lt1>
        <a:sysClr val="window" lastClr="FFFFFF"/>
      </a:lt1>
      <a:dk2>
        <a:srgbClr val="959595"/>
      </a:dk2>
      <a:lt2>
        <a:srgbClr val="F3F3F3"/>
      </a:lt2>
      <a:accent1>
        <a:srgbClr val="E6007E"/>
      </a:accent1>
      <a:accent2>
        <a:srgbClr val="2DAAE1"/>
      </a:accent2>
      <a:accent3>
        <a:srgbClr val="96C103"/>
      </a:accent3>
      <a:accent4>
        <a:srgbClr val="EFA2CC"/>
      </a:accent4>
      <a:accent5>
        <a:srgbClr val="B1DBED"/>
      </a:accent5>
      <a:accent6>
        <a:srgbClr val="D4E2AC"/>
      </a:accent6>
      <a:hlink>
        <a:srgbClr val="E6007E"/>
      </a:hlink>
      <a:folHlink>
        <a:srgbClr val="AC005E"/>
      </a:folHlink>
    </a:clrScheme>
    <a:fontScheme name="FFT">
      <a:majorFont>
        <a:latin typeface="Avenir LT Std 55 Roman"/>
        <a:ea typeface=""/>
        <a:cs typeface=""/>
      </a:majorFont>
      <a:minorFont>
        <a:latin typeface="Avenir LT Std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ED0E-5D04-4832-8301-D9BEE4BE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733</Words>
  <Characters>4181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Nye</dc:creator>
  <cp:keywords/>
  <dc:description/>
  <cp:lastModifiedBy>Caitlin Watson</cp:lastModifiedBy>
  <cp:revision>2</cp:revision>
  <dcterms:created xsi:type="dcterms:W3CDTF">2020-11-23T16:39:00Z</dcterms:created>
  <dcterms:modified xsi:type="dcterms:W3CDTF">2020-11-23T16:39:00Z</dcterms:modified>
</cp:coreProperties>
</file>