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7FF4" w14:textId="16CADA13" w:rsidR="004331C8" w:rsidRDefault="009700AE" w:rsidP="004331C8">
      <w:pPr>
        <w:pStyle w:val="Heading1"/>
        <w:contextualSpacing/>
        <w:rPr>
          <w:lang w:val="en-US"/>
        </w:rPr>
      </w:pPr>
      <w:r>
        <w:rPr>
          <w:noProof/>
          <w:lang w:eastAsia="en-GB"/>
        </w:rPr>
        <w:drawing>
          <wp:anchor distT="0" distB="0" distL="114300" distR="114300" simplePos="0" relativeHeight="251660288" behindDoc="0" locked="0" layoutInCell="1" allowOverlap="1" wp14:anchorId="7F1CBD40" wp14:editId="0C9542DA">
            <wp:simplePos x="0" y="0"/>
            <wp:positionH relativeFrom="margin">
              <wp:posOffset>0</wp:posOffset>
            </wp:positionH>
            <wp:positionV relativeFrom="margin">
              <wp:posOffset>504825</wp:posOffset>
            </wp:positionV>
            <wp:extent cx="1219200" cy="3003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T_EduDatalab_Logo_No_SL_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300355"/>
                    </a:xfrm>
                    <a:prstGeom prst="rect">
                      <a:avLst/>
                    </a:prstGeom>
                  </pic:spPr>
                </pic:pic>
              </a:graphicData>
            </a:graphic>
          </wp:anchor>
        </w:drawing>
      </w:r>
    </w:p>
    <w:p w14:paraId="0BD89348" w14:textId="77777777" w:rsidR="004331C8" w:rsidRDefault="004331C8" w:rsidP="004331C8">
      <w:pPr>
        <w:pStyle w:val="Heading1"/>
        <w:contextualSpacing/>
        <w:rPr>
          <w:lang w:val="en-US"/>
        </w:rPr>
      </w:pPr>
    </w:p>
    <w:p w14:paraId="213B9D91" w14:textId="77777777" w:rsidR="004331C8" w:rsidRDefault="004331C8" w:rsidP="004331C8">
      <w:pPr>
        <w:pStyle w:val="Heading1"/>
        <w:contextualSpacing/>
        <w:rPr>
          <w:lang w:val="en-US"/>
        </w:rPr>
      </w:pPr>
    </w:p>
    <w:p w14:paraId="526050AA" w14:textId="77777777" w:rsidR="004331C8" w:rsidRDefault="004331C8" w:rsidP="004331C8">
      <w:pPr>
        <w:pStyle w:val="Heading1"/>
        <w:contextualSpacing/>
        <w:rPr>
          <w:lang w:val="en-US"/>
        </w:rPr>
      </w:pPr>
    </w:p>
    <w:p w14:paraId="3B5D6360" w14:textId="5317FD91" w:rsidR="004331C8" w:rsidRPr="009700AE" w:rsidRDefault="007A6A2A" w:rsidP="004331C8">
      <w:pPr>
        <w:pStyle w:val="Heading1"/>
        <w:contextualSpacing/>
        <w:rPr>
          <w:rFonts w:ascii="Calibri" w:hAnsi="Calibri" w:cs="Calibri"/>
          <w:b/>
          <w:sz w:val="24"/>
          <w:szCs w:val="24"/>
          <w:lang w:val="en-US"/>
        </w:rPr>
      </w:pPr>
      <w:bookmarkStart w:id="0" w:name="_Toc20304755"/>
      <w:bookmarkStart w:id="1" w:name="_Toc20306740"/>
      <w:r w:rsidRPr="009700AE">
        <w:rPr>
          <w:rFonts w:ascii="Calibri" w:hAnsi="Calibri" w:cs="Calibri"/>
          <w:b/>
          <w:sz w:val="24"/>
          <w:szCs w:val="24"/>
          <w:lang w:val="en-US"/>
        </w:rPr>
        <w:t xml:space="preserve">Analysis of entries and attainment in </w:t>
      </w:r>
      <w:r w:rsidR="009135D2" w:rsidRPr="009700AE">
        <w:rPr>
          <w:rFonts w:ascii="Calibri" w:hAnsi="Calibri" w:cs="Calibri"/>
          <w:b/>
          <w:sz w:val="24"/>
          <w:szCs w:val="24"/>
          <w:lang w:val="en-US"/>
        </w:rPr>
        <w:t>A-Level</w:t>
      </w:r>
      <w:r w:rsidRPr="009700AE">
        <w:rPr>
          <w:rFonts w:ascii="Calibri" w:hAnsi="Calibri" w:cs="Calibri"/>
          <w:b/>
          <w:sz w:val="24"/>
          <w:szCs w:val="24"/>
          <w:lang w:val="en-US"/>
        </w:rPr>
        <w:t xml:space="preserve"> geography</w:t>
      </w:r>
      <w:bookmarkEnd w:id="0"/>
      <w:bookmarkEnd w:id="1"/>
    </w:p>
    <w:p w14:paraId="165C7ED0" w14:textId="77777777" w:rsidR="007A6A2A" w:rsidRPr="009700AE" w:rsidRDefault="007A6A2A" w:rsidP="007A6A2A">
      <w:pPr>
        <w:rPr>
          <w:b/>
          <w:sz w:val="24"/>
          <w:szCs w:val="24"/>
          <w:lang w:val="en-US"/>
        </w:rPr>
      </w:pPr>
    </w:p>
    <w:p w14:paraId="43DB97F6" w14:textId="3D47D692" w:rsidR="00A35D04" w:rsidRPr="009700AE" w:rsidRDefault="007A6A2A" w:rsidP="004331C8">
      <w:pPr>
        <w:pStyle w:val="Heading1"/>
        <w:contextualSpacing/>
        <w:rPr>
          <w:rFonts w:ascii="Calibri" w:hAnsi="Calibri" w:cs="Calibri"/>
          <w:b/>
          <w:sz w:val="24"/>
          <w:szCs w:val="24"/>
          <w:lang w:val="en-US"/>
        </w:rPr>
      </w:pPr>
      <w:bookmarkStart w:id="2" w:name="_Toc20304756"/>
      <w:bookmarkStart w:id="3" w:name="_Toc20306741"/>
      <w:r w:rsidRPr="009700AE">
        <w:rPr>
          <w:rFonts w:ascii="Calibri" w:hAnsi="Calibri" w:cs="Calibri"/>
          <w:b/>
          <w:sz w:val="24"/>
          <w:szCs w:val="24"/>
          <w:lang w:val="en-US"/>
        </w:rPr>
        <w:t xml:space="preserve">Report </w:t>
      </w:r>
      <w:r w:rsidR="0037044D" w:rsidRPr="009700AE">
        <w:rPr>
          <w:rFonts w:ascii="Calibri" w:hAnsi="Calibri" w:cs="Calibri"/>
          <w:b/>
          <w:sz w:val="24"/>
          <w:szCs w:val="24"/>
          <w:lang w:val="en-US"/>
        </w:rPr>
        <w:t xml:space="preserve">for </w:t>
      </w:r>
      <w:r w:rsidRPr="009700AE">
        <w:rPr>
          <w:rFonts w:ascii="Calibri" w:hAnsi="Calibri" w:cs="Calibri"/>
          <w:b/>
          <w:sz w:val="24"/>
          <w:szCs w:val="24"/>
          <w:lang w:val="en-US"/>
        </w:rPr>
        <w:t>the Royal Geographical Society</w:t>
      </w:r>
      <w:bookmarkEnd w:id="2"/>
      <w:bookmarkEnd w:id="3"/>
    </w:p>
    <w:p w14:paraId="5A6195F4" w14:textId="1C271DDA" w:rsidR="00A35D04" w:rsidRPr="009700AE" w:rsidRDefault="00A35D04" w:rsidP="00481529">
      <w:pPr>
        <w:spacing w:after="160" w:line="259" w:lineRule="auto"/>
        <w:contextualSpacing/>
        <w:rPr>
          <w:b/>
          <w:bCs/>
          <w:sz w:val="20"/>
          <w:szCs w:val="20"/>
        </w:rPr>
      </w:pPr>
    </w:p>
    <w:p w14:paraId="7F93DD97" w14:textId="77777777" w:rsidR="009700AE" w:rsidRPr="009700AE" w:rsidRDefault="009700AE" w:rsidP="00CC2619">
      <w:pPr>
        <w:pStyle w:val="Heading2"/>
        <w:jc w:val="right"/>
        <w:rPr>
          <w:rFonts w:ascii="Calibri" w:hAnsi="Calibri" w:cs="Calibri"/>
          <w:sz w:val="20"/>
          <w:szCs w:val="20"/>
        </w:rPr>
      </w:pPr>
      <w:bookmarkStart w:id="4" w:name="_Toc20304757"/>
      <w:bookmarkStart w:id="5" w:name="_Toc20306742"/>
    </w:p>
    <w:p w14:paraId="4264DE24" w14:textId="66A8DC6B" w:rsidR="00072460" w:rsidRPr="009700AE" w:rsidRDefault="009700AE" w:rsidP="00CC2619">
      <w:pPr>
        <w:pStyle w:val="Heading2"/>
        <w:jc w:val="right"/>
        <w:rPr>
          <w:rFonts w:ascii="Calibri" w:hAnsi="Calibri" w:cs="Calibri"/>
          <w:sz w:val="20"/>
          <w:szCs w:val="20"/>
        </w:rPr>
      </w:pPr>
      <w:r w:rsidRPr="009700AE">
        <w:rPr>
          <w:rFonts w:ascii="Calibri" w:hAnsi="Calibri" w:cs="Calibri"/>
          <w:sz w:val="20"/>
          <w:szCs w:val="20"/>
        </w:rPr>
        <w:t>P</w:t>
      </w:r>
      <w:r w:rsidR="003B78CE" w:rsidRPr="009700AE">
        <w:rPr>
          <w:rFonts w:ascii="Calibri" w:hAnsi="Calibri" w:cs="Calibri"/>
          <w:sz w:val="20"/>
          <w:szCs w:val="20"/>
        </w:rPr>
        <w:t>hilip Nye</w:t>
      </w:r>
      <w:bookmarkEnd w:id="4"/>
      <w:bookmarkEnd w:id="5"/>
    </w:p>
    <w:p w14:paraId="67795001" w14:textId="6CDA736A" w:rsidR="00072460" w:rsidRPr="009700AE" w:rsidRDefault="003B78CE" w:rsidP="00CC2619">
      <w:pPr>
        <w:pStyle w:val="Heading2"/>
        <w:jc w:val="right"/>
        <w:rPr>
          <w:rFonts w:ascii="Calibri" w:hAnsi="Calibri" w:cs="Calibri"/>
          <w:sz w:val="20"/>
          <w:szCs w:val="20"/>
        </w:rPr>
      </w:pPr>
      <w:bookmarkStart w:id="6" w:name="_Toc20304758"/>
      <w:bookmarkStart w:id="7" w:name="_Toc20306743"/>
      <w:r w:rsidRPr="009700AE">
        <w:rPr>
          <w:rFonts w:ascii="Calibri" w:hAnsi="Calibri" w:cs="Calibri"/>
          <w:sz w:val="20"/>
          <w:szCs w:val="20"/>
        </w:rPr>
        <w:t>Dave Thomson</w:t>
      </w:r>
      <w:bookmarkEnd w:id="6"/>
      <w:bookmarkEnd w:id="7"/>
    </w:p>
    <w:p w14:paraId="041744F8" w14:textId="771CEABB" w:rsidR="00072460" w:rsidRPr="009700AE" w:rsidRDefault="00072460" w:rsidP="00CC2619">
      <w:pPr>
        <w:pStyle w:val="Heading2"/>
        <w:jc w:val="right"/>
        <w:rPr>
          <w:rFonts w:ascii="Calibri" w:hAnsi="Calibri" w:cs="Calibri"/>
          <w:sz w:val="20"/>
          <w:szCs w:val="20"/>
        </w:rPr>
      </w:pPr>
    </w:p>
    <w:p w14:paraId="66EEC824" w14:textId="7D59354D" w:rsidR="00072460" w:rsidRPr="009700AE" w:rsidRDefault="00072460" w:rsidP="00CC2619">
      <w:pPr>
        <w:pStyle w:val="Heading2"/>
        <w:jc w:val="right"/>
        <w:rPr>
          <w:rFonts w:ascii="Calibri" w:hAnsi="Calibri" w:cs="Calibri"/>
          <w:sz w:val="20"/>
          <w:szCs w:val="20"/>
        </w:rPr>
      </w:pPr>
      <w:bookmarkStart w:id="8" w:name="_Toc20304760"/>
      <w:bookmarkStart w:id="9" w:name="_Toc20306745"/>
      <w:r w:rsidRPr="009700AE">
        <w:rPr>
          <w:rFonts w:ascii="Calibri" w:hAnsi="Calibri" w:cs="Calibri"/>
          <w:sz w:val="20"/>
          <w:szCs w:val="20"/>
        </w:rPr>
        <w:t>October 201</w:t>
      </w:r>
      <w:r w:rsidR="00B02933" w:rsidRPr="009700AE">
        <w:rPr>
          <w:rFonts w:ascii="Calibri" w:hAnsi="Calibri" w:cs="Calibri"/>
          <w:sz w:val="20"/>
          <w:szCs w:val="20"/>
        </w:rPr>
        <w:t>9</w:t>
      </w:r>
      <w:bookmarkEnd w:id="8"/>
      <w:bookmarkEnd w:id="9"/>
    </w:p>
    <w:p w14:paraId="6D0DF70D" w14:textId="5F0A775D" w:rsidR="00072460" w:rsidRPr="009700AE" w:rsidRDefault="006D15DA">
      <w:pPr>
        <w:spacing w:after="160" w:line="259" w:lineRule="auto"/>
        <w:rPr>
          <w:sz w:val="20"/>
          <w:szCs w:val="20"/>
        </w:rPr>
        <w:sectPr w:rsidR="00072460" w:rsidRPr="009700AE">
          <w:footerReference w:type="default" r:id="rId9"/>
          <w:pgSz w:w="11906" w:h="16838"/>
          <w:pgMar w:top="1440" w:right="1440" w:bottom="1440" w:left="1440" w:header="708" w:footer="708" w:gutter="0"/>
          <w:cols w:space="708"/>
          <w:docGrid w:linePitch="360"/>
        </w:sectPr>
      </w:pPr>
      <w:r w:rsidRPr="009700AE">
        <w:rPr>
          <w:sz w:val="20"/>
          <w:szCs w:val="20"/>
        </w:rPr>
        <w:br w:type="page"/>
      </w:r>
    </w:p>
    <w:sdt>
      <w:sdtPr>
        <w:rPr>
          <w:rFonts w:ascii="Calibri" w:eastAsiaTheme="minorHAnsi" w:hAnsi="Calibri" w:cs="Calibri"/>
          <w:color w:val="auto"/>
          <w:sz w:val="20"/>
          <w:szCs w:val="20"/>
          <w:lang w:val="en-GB"/>
        </w:rPr>
        <w:id w:val="-1836906215"/>
        <w:docPartObj>
          <w:docPartGallery w:val="Table of Contents"/>
          <w:docPartUnique/>
        </w:docPartObj>
      </w:sdtPr>
      <w:sdtEndPr>
        <w:rPr>
          <w:b/>
          <w:bCs/>
          <w:noProof/>
        </w:rPr>
      </w:sdtEndPr>
      <w:sdtContent>
        <w:p w14:paraId="364171BA" w14:textId="16652089" w:rsidR="00774ED7" w:rsidRPr="009700AE" w:rsidRDefault="00774ED7">
          <w:pPr>
            <w:pStyle w:val="TOCHeading"/>
            <w:rPr>
              <w:rFonts w:ascii="Calibri" w:hAnsi="Calibri" w:cs="Calibri"/>
              <w:sz w:val="20"/>
              <w:szCs w:val="20"/>
            </w:rPr>
          </w:pPr>
          <w:r w:rsidRPr="009700AE">
            <w:rPr>
              <w:rFonts w:ascii="Calibri" w:hAnsi="Calibri" w:cs="Calibri"/>
              <w:sz w:val="20"/>
              <w:szCs w:val="20"/>
            </w:rPr>
            <w:t>Contents</w:t>
          </w:r>
        </w:p>
        <w:p w14:paraId="5E22AA20" w14:textId="1A6289F6" w:rsidR="009135D2" w:rsidRPr="009700AE" w:rsidRDefault="00774ED7" w:rsidP="009135D2">
          <w:pPr>
            <w:pStyle w:val="TOC1"/>
            <w:tabs>
              <w:tab w:val="right" w:leader="dot" w:pos="9016"/>
            </w:tabs>
            <w:rPr>
              <w:rFonts w:eastAsiaTheme="minorEastAsia"/>
              <w:noProof/>
              <w:sz w:val="20"/>
              <w:szCs w:val="20"/>
              <w:lang w:eastAsia="en-GB"/>
            </w:rPr>
          </w:pPr>
          <w:r w:rsidRPr="009700AE">
            <w:rPr>
              <w:sz w:val="20"/>
              <w:szCs w:val="20"/>
            </w:rPr>
            <w:fldChar w:fldCharType="begin"/>
          </w:r>
          <w:r w:rsidRPr="009700AE">
            <w:rPr>
              <w:sz w:val="20"/>
              <w:szCs w:val="20"/>
            </w:rPr>
            <w:instrText xml:space="preserve"> TOC \o "1-3" \h \z \u </w:instrText>
          </w:r>
          <w:r w:rsidRPr="009700AE">
            <w:rPr>
              <w:sz w:val="20"/>
              <w:szCs w:val="20"/>
            </w:rPr>
            <w:fldChar w:fldCharType="separate"/>
          </w:r>
        </w:p>
        <w:p w14:paraId="67DB7996" w14:textId="272DB39E" w:rsidR="009135D2" w:rsidRPr="009700AE" w:rsidRDefault="003C45C6">
          <w:pPr>
            <w:pStyle w:val="TOC2"/>
            <w:tabs>
              <w:tab w:val="right" w:leader="dot" w:pos="9016"/>
            </w:tabs>
            <w:rPr>
              <w:rFonts w:eastAsiaTheme="minorEastAsia"/>
              <w:noProof/>
              <w:sz w:val="20"/>
              <w:szCs w:val="20"/>
              <w:lang w:eastAsia="en-GB"/>
            </w:rPr>
          </w:pPr>
          <w:hyperlink w:anchor="_Toc20306746" w:history="1">
            <w:r w:rsidR="009135D2" w:rsidRPr="009700AE">
              <w:rPr>
                <w:rStyle w:val="Hyperlink"/>
                <w:noProof/>
                <w:sz w:val="20"/>
                <w:szCs w:val="20"/>
              </w:rPr>
              <w:t>1. Introduction</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_Toc20306746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2</w:t>
            </w:r>
            <w:r w:rsidR="009135D2" w:rsidRPr="009700AE">
              <w:rPr>
                <w:noProof/>
                <w:webHidden/>
                <w:sz w:val="20"/>
                <w:szCs w:val="20"/>
              </w:rPr>
              <w:fldChar w:fldCharType="end"/>
            </w:r>
          </w:hyperlink>
        </w:p>
        <w:p w14:paraId="69D467E6" w14:textId="54958F90" w:rsidR="009135D2" w:rsidRPr="009700AE" w:rsidRDefault="003C45C6">
          <w:pPr>
            <w:pStyle w:val="TOC3"/>
            <w:tabs>
              <w:tab w:val="right" w:leader="dot" w:pos="9016"/>
            </w:tabs>
            <w:rPr>
              <w:rFonts w:eastAsiaTheme="minorEastAsia"/>
              <w:noProof/>
              <w:sz w:val="20"/>
              <w:szCs w:val="20"/>
              <w:lang w:eastAsia="en-GB"/>
            </w:rPr>
          </w:pPr>
          <w:hyperlink w:anchor="_Toc20306747" w:history="1">
            <w:r w:rsidR="009135D2" w:rsidRPr="009700AE">
              <w:rPr>
                <w:rStyle w:val="Hyperlink"/>
                <w:noProof/>
                <w:sz w:val="20"/>
                <w:szCs w:val="20"/>
              </w:rPr>
              <w:t>Acknowledgments</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_Toc20306747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2</w:t>
            </w:r>
            <w:r w:rsidR="009135D2" w:rsidRPr="009700AE">
              <w:rPr>
                <w:noProof/>
                <w:webHidden/>
                <w:sz w:val="20"/>
                <w:szCs w:val="20"/>
              </w:rPr>
              <w:fldChar w:fldCharType="end"/>
            </w:r>
          </w:hyperlink>
        </w:p>
        <w:p w14:paraId="14A2DECA" w14:textId="7299B1C1" w:rsidR="009135D2" w:rsidRPr="009700AE" w:rsidRDefault="003C45C6">
          <w:pPr>
            <w:pStyle w:val="TOC2"/>
            <w:tabs>
              <w:tab w:val="right" w:leader="dot" w:pos="9016"/>
            </w:tabs>
            <w:rPr>
              <w:rFonts w:eastAsiaTheme="minorEastAsia"/>
              <w:noProof/>
              <w:sz w:val="20"/>
              <w:szCs w:val="20"/>
              <w:lang w:eastAsia="en-GB"/>
            </w:rPr>
          </w:pPr>
          <w:hyperlink w:anchor="_Toc20306748" w:history="1">
            <w:r w:rsidR="009135D2" w:rsidRPr="009700AE">
              <w:rPr>
                <w:rStyle w:val="Hyperlink"/>
                <w:noProof/>
                <w:sz w:val="20"/>
                <w:szCs w:val="20"/>
              </w:rPr>
              <w:t>2. Summary</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_Toc20306748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3</w:t>
            </w:r>
            <w:r w:rsidR="009135D2" w:rsidRPr="009700AE">
              <w:rPr>
                <w:noProof/>
                <w:webHidden/>
                <w:sz w:val="20"/>
                <w:szCs w:val="20"/>
              </w:rPr>
              <w:fldChar w:fldCharType="end"/>
            </w:r>
          </w:hyperlink>
        </w:p>
        <w:p w14:paraId="4749A501" w14:textId="144BC736" w:rsidR="009135D2" w:rsidRPr="009700AE" w:rsidRDefault="003C45C6">
          <w:pPr>
            <w:pStyle w:val="TOC2"/>
            <w:tabs>
              <w:tab w:val="right" w:leader="dot" w:pos="9016"/>
            </w:tabs>
            <w:rPr>
              <w:rFonts w:eastAsiaTheme="minorEastAsia"/>
              <w:noProof/>
              <w:sz w:val="20"/>
              <w:szCs w:val="20"/>
              <w:lang w:eastAsia="en-GB"/>
            </w:rPr>
          </w:pPr>
          <w:hyperlink w:anchor="_Toc20306749" w:history="1">
            <w:r w:rsidR="009135D2" w:rsidRPr="009700AE">
              <w:rPr>
                <w:rStyle w:val="Hyperlink"/>
                <w:noProof/>
                <w:sz w:val="20"/>
                <w:szCs w:val="20"/>
              </w:rPr>
              <w:t>3. Student characteristics</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_Toc20306749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4</w:t>
            </w:r>
            <w:r w:rsidR="009135D2" w:rsidRPr="009700AE">
              <w:rPr>
                <w:noProof/>
                <w:webHidden/>
                <w:sz w:val="20"/>
                <w:szCs w:val="20"/>
              </w:rPr>
              <w:fldChar w:fldCharType="end"/>
            </w:r>
          </w:hyperlink>
        </w:p>
        <w:p w14:paraId="6F4BE4FD" w14:textId="013335E2" w:rsidR="009135D2" w:rsidRPr="009700AE" w:rsidRDefault="003C45C6">
          <w:pPr>
            <w:pStyle w:val="TOC3"/>
            <w:tabs>
              <w:tab w:val="right" w:leader="dot" w:pos="9016"/>
            </w:tabs>
            <w:rPr>
              <w:rFonts w:eastAsiaTheme="minorEastAsia"/>
              <w:noProof/>
              <w:sz w:val="20"/>
              <w:szCs w:val="20"/>
              <w:lang w:eastAsia="en-GB"/>
            </w:rPr>
          </w:pPr>
          <w:hyperlink w:anchor="_Toc20306750" w:history="1">
            <w:r w:rsidR="009135D2" w:rsidRPr="009700AE">
              <w:rPr>
                <w:rStyle w:val="Hyperlink"/>
                <w:rFonts w:eastAsia="Times New Roman"/>
                <w:noProof/>
                <w:sz w:val="20"/>
                <w:szCs w:val="20"/>
              </w:rPr>
              <w:t>3.1 Gender</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_Toc20306750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4</w:t>
            </w:r>
            <w:r w:rsidR="009135D2" w:rsidRPr="009700AE">
              <w:rPr>
                <w:noProof/>
                <w:webHidden/>
                <w:sz w:val="20"/>
                <w:szCs w:val="20"/>
              </w:rPr>
              <w:fldChar w:fldCharType="end"/>
            </w:r>
          </w:hyperlink>
        </w:p>
        <w:p w14:paraId="4D9C9EA4" w14:textId="58A6D0D7" w:rsidR="009135D2" w:rsidRPr="009700AE" w:rsidRDefault="003C45C6">
          <w:pPr>
            <w:pStyle w:val="TOC3"/>
            <w:tabs>
              <w:tab w:val="right" w:leader="dot" w:pos="9016"/>
            </w:tabs>
            <w:rPr>
              <w:rFonts w:eastAsiaTheme="minorEastAsia"/>
              <w:noProof/>
              <w:sz w:val="20"/>
              <w:szCs w:val="20"/>
              <w:lang w:eastAsia="en-GB"/>
            </w:rPr>
          </w:pPr>
          <w:hyperlink w:anchor="_Toc20306751" w:history="1">
            <w:r w:rsidR="009135D2" w:rsidRPr="009700AE">
              <w:rPr>
                <w:rStyle w:val="Hyperlink"/>
                <w:rFonts w:eastAsia="Times New Roman"/>
                <w:noProof/>
                <w:sz w:val="20"/>
                <w:szCs w:val="20"/>
              </w:rPr>
              <w:t>3.2 Disadvantage</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_Toc20306751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5</w:t>
            </w:r>
            <w:r w:rsidR="009135D2" w:rsidRPr="009700AE">
              <w:rPr>
                <w:noProof/>
                <w:webHidden/>
                <w:sz w:val="20"/>
                <w:szCs w:val="20"/>
              </w:rPr>
              <w:fldChar w:fldCharType="end"/>
            </w:r>
          </w:hyperlink>
        </w:p>
        <w:p w14:paraId="0C7EE69A" w14:textId="6019224B" w:rsidR="009135D2" w:rsidRPr="009700AE" w:rsidRDefault="003C45C6">
          <w:pPr>
            <w:pStyle w:val="TOC3"/>
            <w:tabs>
              <w:tab w:val="right" w:leader="dot" w:pos="9016"/>
            </w:tabs>
            <w:rPr>
              <w:rFonts w:eastAsiaTheme="minorEastAsia"/>
              <w:noProof/>
              <w:sz w:val="20"/>
              <w:szCs w:val="20"/>
              <w:lang w:eastAsia="en-GB"/>
            </w:rPr>
          </w:pPr>
          <w:hyperlink w:anchor="_Toc20306752" w:history="1">
            <w:r w:rsidR="009135D2" w:rsidRPr="009700AE">
              <w:rPr>
                <w:rStyle w:val="Hyperlink"/>
                <w:rFonts w:eastAsia="Times New Roman"/>
                <w:noProof/>
                <w:sz w:val="20"/>
                <w:szCs w:val="20"/>
              </w:rPr>
              <w:t>3.3 Ethnicity</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_Toc20306752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6</w:t>
            </w:r>
            <w:r w:rsidR="009135D2" w:rsidRPr="009700AE">
              <w:rPr>
                <w:noProof/>
                <w:webHidden/>
                <w:sz w:val="20"/>
                <w:szCs w:val="20"/>
              </w:rPr>
              <w:fldChar w:fldCharType="end"/>
            </w:r>
          </w:hyperlink>
        </w:p>
        <w:p w14:paraId="7B61606F" w14:textId="7BE19A9A" w:rsidR="009135D2" w:rsidRPr="009700AE" w:rsidRDefault="003C45C6">
          <w:pPr>
            <w:pStyle w:val="TOC3"/>
            <w:tabs>
              <w:tab w:val="right" w:leader="dot" w:pos="9016"/>
            </w:tabs>
            <w:rPr>
              <w:rFonts w:eastAsiaTheme="minorEastAsia"/>
              <w:noProof/>
              <w:sz w:val="20"/>
              <w:szCs w:val="20"/>
              <w:lang w:eastAsia="en-GB"/>
            </w:rPr>
          </w:pPr>
          <w:hyperlink w:anchor="_Toc20306753" w:history="1">
            <w:r w:rsidR="009135D2" w:rsidRPr="009700AE">
              <w:rPr>
                <w:rStyle w:val="Hyperlink"/>
                <w:rFonts w:eastAsia="Times New Roman"/>
                <w:noProof/>
                <w:sz w:val="20"/>
                <w:szCs w:val="20"/>
              </w:rPr>
              <w:t>3.4 Prior attainment</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_Toc20306753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7</w:t>
            </w:r>
            <w:r w:rsidR="009135D2" w:rsidRPr="009700AE">
              <w:rPr>
                <w:noProof/>
                <w:webHidden/>
                <w:sz w:val="20"/>
                <w:szCs w:val="20"/>
              </w:rPr>
              <w:fldChar w:fldCharType="end"/>
            </w:r>
          </w:hyperlink>
        </w:p>
        <w:p w14:paraId="61BD6EE5" w14:textId="2F25DC7D" w:rsidR="009135D2" w:rsidRPr="009700AE" w:rsidRDefault="003C45C6">
          <w:pPr>
            <w:pStyle w:val="TOC2"/>
            <w:tabs>
              <w:tab w:val="right" w:leader="dot" w:pos="9016"/>
            </w:tabs>
            <w:rPr>
              <w:rFonts w:eastAsiaTheme="minorEastAsia"/>
              <w:noProof/>
              <w:sz w:val="20"/>
              <w:szCs w:val="20"/>
              <w:lang w:eastAsia="en-GB"/>
            </w:rPr>
          </w:pPr>
          <w:hyperlink w:anchor="_Toc20306754" w:history="1">
            <w:r w:rsidR="009135D2" w:rsidRPr="009700AE">
              <w:rPr>
                <w:rStyle w:val="Hyperlink"/>
                <w:noProof/>
                <w:sz w:val="20"/>
                <w:szCs w:val="20"/>
              </w:rPr>
              <w:t>4. Establishment characteristics</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_Toc20306754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8</w:t>
            </w:r>
            <w:r w:rsidR="009135D2" w:rsidRPr="009700AE">
              <w:rPr>
                <w:noProof/>
                <w:webHidden/>
                <w:sz w:val="20"/>
                <w:szCs w:val="20"/>
              </w:rPr>
              <w:fldChar w:fldCharType="end"/>
            </w:r>
          </w:hyperlink>
        </w:p>
        <w:p w14:paraId="3B5428AC" w14:textId="7A9C9373" w:rsidR="009135D2" w:rsidRPr="009700AE" w:rsidRDefault="003C45C6">
          <w:pPr>
            <w:pStyle w:val="TOC3"/>
            <w:tabs>
              <w:tab w:val="right" w:leader="dot" w:pos="9016"/>
            </w:tabs>
            <w:rPr>
              <w:rFonts w:eastAsiaTheme="minorEastAsia"/>
              <w:noProof/>
              <w:sz w:val="20"/>
              <w:szCs w:val="20"/>
              <w:lang w:eastAsia="en-GB"/>
            </w:rPr>
          </w:pPr>
          <w:hyperlink w:anchor="_Toc20306755" w:history="1">
            <w:r w:rsidR="009135D2" w:rsidRPr="009700AE">
              <w:rPr>
                <w:rStyle w:val="Hyperlink"/>
                <w:rFonts w:eastAsia="Times New Roman"/>
                <w:noProof/>
                <w:sz w:val="20"/>
                <w:szCs w:val="20"/>
              </w:rPr>
              <w:t>4.1 Region</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_Toc20306755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8</w:t>
            </w:r>
            <w:r w:rsidR="009135D2" w:rsidRPr="009700AE">
              <w:rPr>
                <w:noProof/>
                <w:webHidden/>
                <w:sz w:val="20"/>
                <w:szCs w:val="20"/>
              </w:rPr>
              <w:fldChar w:fldCharType="end"/>
            </w:r>
          </w:hyperlink>
        </w:p>
        <w:p w14:paraId="26A93464" w14:textId="071A8CC5" w:rsidR="009135D2" w:rsidRPr="009700AE" w:rsidRDefault="003C45C6">
          <w:pPr>
            <w:pStyle w:val="TOC3"/>
            <w:tabs>
              <w:tab w:val="right" w:leader="dot" w:pos="9016"/>
            </w:tabs>
            <w:rPr>
              <w:rFonts w:eastAsiaTheme="minorEastAsia"/>
              <w:noProof/>
              <w:sz w:val="20"/>
              <w:szCs w:val="20"/>
              <w:lang w:eastAsia="en-GB"/>
            </w:rPr>
          </w:pPr>
          <w:hyperlink w:anchor="_Toc20306756" w:history="1">
            <w:r w:rsidR="009135D2" w:rsidRPr="009700AE">
              <w:rPr>
                <w:rStyle w:val="Hyperlink"/>
                <w:rFonts w:eastAsia="Times New Roman"/>
                <w:noProof/>
                <w:sz w:val="20"/>
                <w:szCs w:val="20"/>
              </w:rPr>
              <w:t>4.2 Area type, Coastal, Opportunity area</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_Toc20306756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9</w:t>
            </w:r>
            <w:r w:rsidR="009135D2" w:rsidRPr="009700AE">
              <w:rPr>
                <w:noProof/>
                <w:webHidden/>
                <w:sz w:val="20"/>
                <w:szCs w:val="20"/>
              </w:rPr>
              <w:fldChar w:fldCharType="end"/>
            </w:r>
          </w:hyperlink>
        </w:p>
        <w:p w14:paraId="444B9501" w14:textId="07AE0A17" w:rsidR="009135D2" w:rsidRPr="009700AE" w:rsidRDefault="003C45C6">
          <w:pPr>
            <w:pStyle w:val="TOC3"/>
            <w:tabs>
              <w:tab w:val="right" w:leader="dot" w:pos="9016"/>
            </w:tabs>
            <w:rPr>
              <w:rFonts w:eastAsiaTheme="minorEastAsia"/>
              <w:noProof/>
              <w:sz w:val="20"/>
              <w:szCs w:val="20"/>
              <w:lang w:eastAsia="en-GB"/>
            </w:rPr>
          </w:pPr>
          <w:hyperlink w:anchor="_Toc20306757" w:history="1">
            <w:r w:rsidR="009135D2" w:rsidRPr="009700AE">
              <w:rPr>
                <w:rStyle w:val="Hyperlink"/>
                <w:rFonts w:eastAsia="Times New Roman"/>
                <w:noProof/>
                <w:sz w:val="20"/>
                <w:szCs w:val="20"/>
              </w:rPr>
              <w:t>4.3 Establishment type, Governance</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_Toc20306757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10</w:t>
            </w:r>
            <w:r w:rsidR="009135D2" w:rsidRPr="009700AE">
              <w:rPr>
                <w:noProof/>
                <w:webHidden/>
                <w:sz w:val="20"/>
                <w:szCs w:val="20"/>
              </w:rPr>
              <w:fldChar w:fldCharType="end"/>
            </w:r>
          </w:hyperlink>
        </w:p>
        <w:p w14:paraId="22A01571" w14:textId="4AC85EB0" w:rsidR="009135D2" w:rsidRPr="009700AE" w:rsidRDefault="003C45C6">
          <w:pPr>
            <w:pStyle w:val="TOC3"/>
            <w:tabs>
              <w:tab w:val="right" w:leader="dot" w:pos="9016"/>
            </w:tabs>
            <w:rPr>
              <w:rFonts w:eastAsiaTheme="minorEastAsia"/>
              <w:noProof/>
              <w:sz w:val="20"/>
              <w:szCs w:val="20"/>
              <w:lang w:eastAsia="en-GB"/>
            </w:rPr>
          </w:pPr>
          <w:hyperlink w:anchor="_Toc20306758" w:history="1">
            <w:r w:rsidR="009135D2" w:rsidRPr="009700AE">
              <w:rPr>
                <w:rStyle w:val="Hyperlink"/>
                <w:rFonts w:eastAsia="Times New Roman"/>
                <w:noProof/>
                <w:sz w:val="20"/>
                <w:szCs w:val="20"/>
              </w:rPr>
              <w:t>4.4 Inspection rating</w:t>
            </w:r>
            <w:r w:rsidR="009135D2" w:rsidRPr="009700AE">
              <w:rPr>
                <w:noProof/>
                <w:webHidden/>
                <w:sz w:val="20"/>
                <w:szCs w:val="20"/>
              </w:rPr>
              <w:tab/>
            </w:r>
            <w:r w:rsidR="009135D2" w:rsidRPr="009700AE">
              <w:rPr>
                <w:noProof/>
                <w:webHidden/>
                <w:sz w:val="20"/>
                <w:szCs w:val="20"/>
              </w:rPr>
              <w:fldChar w:fldCharType="begin"/>
            </w:r>
            <w:r w:rsidR="009135D2" w:rsidRPr="009700AE">
              <w:rPr>
                <w:noProof/>
                <w:webHidden/>
                <w:sz w:val="20"/>
                <w:szCs w:val="20"/>
              </w:rPr>
              <w:instrText xml:space="preserve"> PAGEREF _Toc20306758 \h </w:instrText>
            </w:r>
            <w:r w:rsidR="009135D2" w:rsidRPr="009700AE">
              <w:rPr>
                <w:noProof/>
                <w:webHidden/>
                <w:sz w:val="20"/>
                <w:szCs w:val="20"/>
              </w:rPr>
            </w:r>
            <w:r w:rsidR="009135D2" w:rsidRPr="009700AE">
              <w:rPr>
                <w:noProof/>
                <w:webHidden/>
                <w:sz w:val="20"/>
                <w:szCs w:val="20"/>
              </w:rPr>
              <w:fldChar w:fldCharType="separate"/>
            </w:r>
            <w:r w:rsidR="009135D2" w:rsidRPr="009700AE">
              <w:rPr>
                <w:noProof/>
                <w:webHidden/>
                <w:sz w:val="20"/>
                <w:szCs w:val="20"/>
              </w:rPr>
              <w:t>11</w:t>
            </w:r>
            <w:r w:rsidR="009135D2" w:rsidRPr="009700AE">
              <w:rPr>
                <w:noProof/>
                <w:webHidden/>
                <w:sz w:val="20"/>
                <w:szCs w:val="20"/>
              </w:rPr>
              <w:fldChar w:fldCharType="end"/>
            </w:r>
          </w:hyperlink>
        </w:p>
        <w:p w14:paraId="07B4B75A" w14:textId="38A94EA9" w:rsidR="00774ED7" w:rsidRPr="009700AE" w:rsidRDefault="00774ED7">
          <w:pPr>
            <w:rPr>
              <w:sz w:val="20"/>
              <w:szCs w:val="20"/>
            </w:rPr>
          </w:pPr>
          <w:r w:rsidRPr="009700AE">
            <w:rPr>
              <w:b/>
              <w:bCs/>
              <w:noProof/>
              <w:sz w:val="20"/>
              <w:szCs w:val="20"/>
            </w:rPr>
            <w:fldChar w:fldCharType="end"/>
          </w:r>
        </w:p>
      </w:sdtContent>
    </w:sdt>
    <w:p w14:paraId="4749512E" w14:textId="77777777" w:rsidR="002E063A" w:rsidRPr="009700AE" w:rsidRDefault="002E063A" w:rsidP="00CC2619">
      <w:pPr>
        <w:rPr>
          <w:sz w:val="20"/>
          <w:szCs w:val="20"/>
        </w:rPr>
      </w:pPr>
    </w:p>
    <w:p w14:paraId="65851311" w14:textId="77777777" w:rsidR="00F85760" w:rsidRPr="009700AE" w:rsidRDefault="00F85760" w:rsidP="00481529">
      <w:pPr>
        <w:pStyle w:val="Heading2"/>
        <w:contextualSpacing/>
        <w:rPr>
          <w:rFonts w:ascii="Calibri" w:hAnsi="Calibri" w:cs="Calibri"/>
          <w:sz w:val="20"/>
          <w:szCs w:val="20"/>
        </w:rPr>
      </w:pPr>
    </w:p>
    <w:p w14:paraId="68199DDA" w14:textId="77777777" w:rsidR="006D15DA" w:rsidRPr="009700AE" w:rsidRDefault="006D15DA">
      <w:pPr>
        <w:spacing w:after="160" w:line="259" w:lineRule="auto"/>
        <w:rPr>
          <w:rFonts w:eastAsiaTheme="majorEastAsia"/>
          <w:color w:val="AC005D" w:themeColor="accent1" w:themeShade="BF"/>
          <w:sz w:val="20"/>
          <w:szCs w:val="20"/>
        </w:rPr>
      </w:pPr>
      <w:r w:rsidRPr="009700AE">
        <w:rPr>
          <w:sz w:val="20"/>
          <w:szCs w:val="20"/>
        </w:rPr>
        <w:br w:type="page"/>
      </w:r>
    </w:p>
    <w:p w14:paraId="4FC1FDF1" w14:textId="28EB3821" w:rsidR="000D2107" w:rsidRDefault="000D2107" w:rsidP="009700AE">
      <w:pPr>
        <w:pStyle w:val="Heading2"/>
        <w:numPr>
          <w:ilvl w:val="0"/>
          <w:numId w:val="24"/>
        </w:numPr>
        <w:rPr>
          <w:rFonts w:ascii="Calibri" w:hAnsi="Calibri" w:cs="Calibri"/>
          <w:sz w:val="20"/>
          <w:szCs w:val="20"/>
        </w:rPr>
      </w:pPr>
      <w:bookmarkStart w:id="10" w:name="_Toc20306746"/>
      <w:r w:rsidRPr="009700AE">
        <w:rPr>
          <w:rFonts w:ascii="Calibri" w:hAnsi="Calibri" w:cs="Calibri"/>
          <w:sz w:val="20"/>
          <w:szCs w:val="20"/>
        </w:rPr>
        <w:lastRenderedPageBreak/>
        <w:t>Introduction</w:t>
      </w:r>
      <w:bookmarkEnd w:id="10"/>
    </w:p>
    <w:p w14:paraId="29B53CD3" w14:textId="77777777" w:rsidR="009700AE" w:rsidRPr="009700AE" w:rsidRDefault="009700AE" w:rsidP="009700AE"/>
    <w:p w14:paraId="5254BA5F" w14:textId="5B45396E" w:rsidR="000D2107" w:rsidRPr="009700AE" w:rsidRDefault="007A6A2A" w:rsidP="007A6A2A">
      <w:pPr>
        <w:rPr>
          <w:sz w:val="20"/>
          <w:szCs w:val="20"/>
        </w:rPr>
      </w:pPr>
      <w:r w:rsidRPr="009700AE">
        <w:rPr>
          <w:sz w:val="20"/>
          <w:szCs w:val="20"/>
        </w:rPr>
        <w:t xml:space="preserve">This report </w:t>
      </w:r>
      <w:r w:rsidR="009700AE">
        <w:rPr>
          <w:sz w:val="20"/>
          <w:szCs w:val="20"/>
        </w:rPr>
        <w:t>presents</w:t>
      </w:r>
      <w:r w:rsidRPr="009700AE">
        <w:rPr>
          <w:sz w:val="20"/>
          <w:szCs w:val="20"/>
        </w:rPr>
        <w:t xml:space="preserve"> output from a project analysing entries </w:t>
      </w:r>
      <w:r w:rsidR="00DC3DA9" w:rsidRPr="009700AE">
        <w:rPr>
          <w:sz w:val="20"/>
          <w:szCs w:val="20"/>
        </w:rPr>
        <w:t xml:space="preserve">into, and attainment </w:t>
      </w:r>
      <w:r w:rsidRPr="009700AE">
        <w:rPr>
          <w:sz w:val="20"/>
          <w:szCs w:val="20"/>
        </w:rPr>
        <w:t>in</w:t>
      </w:r>
      <w:r w:rsidR="00DC3DA9" w:rsidRPr="009700AE">
        <w:rPr>
          <w:sz w:val="20"/>
          <w:szCs w:val="20"/>
        </w:rPr>
        <w:t>,</w:t>
      </w:r>
      <w:r w:rsidRPr="009700AE">
        <w:rPr>
          <w:sz w:val="20"/>
          <w:szCs w:val="20"/>
        </w:rPr>
        <w:t xml:space="preserve"> </w:t>
      </w:r>
      <w:r w:rsidR="009135D2" w:rsidRPr="009700AE">
        <w:rPr>
          <w:sz w:val="20"/>
          <w:szCs w:val="20"/>
        </w:rPr>
        <w:t>A-Level</w:t>
      </w:r>
      <w:r w:rsidRPr="009700AE">
        <w:rPr>
          <w:sz w:val="20"/>
          <w:szCs w:val="20"/>
        </w:rPr>
        <w:t xml:space="preserve"> geography for the period 2009/10-2017/18</w:t>
      </w:r>
      <w:r w:rsidR="00DC3DA9" w:rsidRPr="009700AE">
        <w:rPr>
          <w:rStyle w:val="FootnoteReference"/>
          <w:sz w:val="20"/>
          <w:szCs w:val="20"/>
        </w:rPr>
        <w:footnoteReference w:id="1"/>
      </w:r>
      <w:r w:rsidRPr="009700AE">
        <w:rPr>
          <w:sz w:val="20"/>
          <w:szCs w:val="20"/>
        </w:rPr>
        <w:t xml:space="preserve">. Analysis has been completed for a range of </w:t>
      </w:r>
      <w:r w:rsidR="009135D2" w:rsidRPr="009700AE">
        <w:rPr>
          <w:sz w:val="20"/>
          <w:szCs w:val="20"/>
        </w:rPr>
        <w:t xml:space="preserve">student </w:t>
      </w:r>
      <w:r w:rsidRPr="009700AE">
        <w:rPr>
          <w:sz w:val="20"/>
          <w:szCs w:val="20"/>
        </w:rPr>
        <w:t xml:space="preserve">and </w:t>
      </w:r>
      <w:r w:rsidR="009135D2" w:rsidRPr="009700AE">
        <w:rPr>
          <w:sz w:val="20"/>
          <w:szCs w:val="20"/>
        </w:rPr>
        <w:t xml:space="preserve">establishment </w:t>
      </w:r>
      <w:r w:rsidRPr="009700AE">
        <w:rPr>
          <w:sz w:val="20"/>
          <w:szCs w:val="20"/>
        </w:rPr>
        <w:t xml:space="preserve">characteristics, building a detailed picture of participation in geography at Key Stage </w:t>
      </w:r>
      <w:r w:rsidR="009135D2" w:rsidRPr="009700AE">
        <w:rPr>
          <w:sz w:val="20"/>
          <w:szCs w:val="20"/>
        </w:rPr>
        <w:t>5</w:t>
      </w:r>
      <w:r w:rsidRPr="009700AE">
        <w:rPr>
          <w:sz w:val="20"/>
          <w:szCs w:val="20"/>
        </w:rPr>
        <w:t xml:space="preserve"> over this time period.</w:t>
      </w:r>
    </w:p>
    <w:p w14:paraId="51648BF2" w14:textId="53CEF241" w:rsidR="00774ED7" w:rsidRPr="009700AE" w:rsidRDefault="00774ED7" w:rsidP="007A6A2A">
      <w:pPr>
        <w:rPr>
          <w:sz w:val="20"/>
          <w:szCs w:val="20"/>
        </w:rPr>
      </w:pPr>
    </w:p>
    <w:p w14:paraId="5134CE8D" w14:textId="3C21C0C4" w:rsidR="007A6A2A" w:rsidRPr="009700AE" w:rsidRDefault="007A6A2A" w:rsidP="007A6A2A">
      <w:pPr>
        <w:rPr>
          <w:sz w:val="20"/>
          <w:szCs w:val="20"/>
        </w:rPr>
      </w:pPr>
      <w:r w:rsidRPr="009700AE">
        <w:rPr>
          <w:sz w:val="20"/>
          <w:szCs w:val="20"/>
        </w:rPr>
        <w:t xml:space="preserve">A separate document is available which describes the methodology followed and </w:t>
      </w:r>
      <w:r w:rsidR="00DC3DA9" w:rsidRPr="009700AE">
        <w:rPr>
          <w:sz w:val="20"/>
          <w:szCs w:val="20"/>
        </w:rPr>
        <w:t>definitions used</w:t>
      </w:r>
      <w:r w:rsidRPr="009700AE">
        <w:rPr>
          <w:sz w:val="20"/>
          <w:szCs w:val="20"/>
        </w:rPr>
        <w:t>.</w:t>
      </w:r>
    </w:p>
    <w:p w14:paraId="116DA16F" w14:textId="77777777" w:rsidR="007A6A2A" w:rsidRPr="009700AE" w:rsidRDefault="007A6A2A" w:rsidP="007A6A2A">
      <w:pPr>
        <w:rPr>
          <w:sz w:val="20"/>
          <w:szCs w:val="20"/>
        </w:rPr>
      </w:pPr>
    </w:p>
    <w:p w14:paraId="798C19E5" w14:textId="016B2DD1" w:rsidR="002F04E4" w:rsidRDefault="00EC59B6" w:rsidP="00EC59B6">
      <w:pPr>
        <w:pStyle w:val="Heading3"/>
        <w:rPr>
          <w:rFonts w:ascii="Calibri" w:hAnsi="Calibri" w:cs="Calibri"/>
          <w:sz w:val="20"/>
          <w:szCs w:val="20"/>
        </w:rPr>
      </w:pPr>
      <w:bookmarkStart w:id="11" w:name="_Toc20306747"/>
      <w:r w:rsidRPr="009700AE">
        <w:rPr>
          <w:rFonts w:ascii="Calibri" w:hAnsi="Calibri" w:cs="Calibri"/>
          <w:sz w:val="20"/>
          <w:szCs w:val="20"/>
        </w:rPr>
        <w:t>Acknowledgments</w:t>
      </w:r>
      <w:bookmarkEnd w:id="11"/>
    </w:p>
    <w:p w14:paraId="1661F88A" w14:textId="77777777" w:rsidR="009700AE" w:rsidRPr="009700AE" w:rsidRDefault="009700AE" w:rsidP="009700AE"/>
    <w:p w14:paraId="3A34B832" w14:textId="7FE3154E" w:rsidR="00EC59B6" w:rsidRPr="009700AE" w:rsidRDefault="00EC59B6" w:rsidP="00AB40F4">
      <w:pPr>
        <w:rPr>
          <w:sz w:val="20"/>
          <w:szCs w:val="20"/>
        </w:rPr>
      </w:pPr>
      <w:r w:rsidRPr="009700AE">
        <w:rPr>
          <w:sz w:val="20"/>
          <w:szCs w:val="20"/>
        </w:rPr>
        <w:t xml:space="preserve">This publication includes analysis of the Department for Education </w:t>
      </w:r>
      <w:hyperlink r:id="rId10" w:history="1">
        <w:r w:rsidRPr="009700AE">
          <w:rPr>
            <w:rStyle w:val="Hyperlink"/>
            <w:sz w:val="20"/>
            <w:szCs w:val="20"/>
          </w:rPr>
          <w:t>National Pupil Database</w:t>
        </w:r>
      </w:hyperlink>
      <w:r w:rsidRPr="009700AE">
        <w:rPr>
          <w:sz w:val="20"/>
          <w:szCs w:val="20"/>
        </w:rPr>
        <w:t>. Inferences or conclusions derived from the NPD in this publication are the responsibility of FFT Education Datalab and not the Department for Education</w:t>
      </w:r>
      <w:r w:rsidR="00187127" w:rsidRPr="009700AE">
        <w:rPr>
          <w:sz w:val="20"/>
          <w:szCs w:val="20"/>
        </w:rPr>
        <w:t>.</w:t>
      </w:r>
    </w:p>
    <w:p w14:paraId="19F6119D" w14:textId="77777777" w:rsidR="00AA037B" w:rsidRPr="009700AE" w:rsidRDefault="00AA037B" w:rsidP="00AA037B">
      <w:pPr>
        <w:pStyle w:val="Heading3"/>
        <w:rPr>
          <w:rFonts w:ascii="Calibri" w:hAnsi="Calibri" w:cs="Calibri"/>
          <w:color w:val="AC005D" w:themeColor="accent1" w:themeShade="BF"/>
          <w:sz w:val="20"/>
          <w:szCs w:val="20"/>
        </w:rPr>
      </w:pPr>
    </w:p>
    <w:p w14:paraId="621DBE3F" w14:textId="757E6B16" w:rsidR="00AA037B" w:rsidRDefault="00AA037B" w:rsidP="00AA037B">
      <w:pPr>
        <w:pStyle w:val="Heading3"/>
        <w:rPr>
          <w:rFonts w:ascii="Calibri" w:hAnsi="Calibri" w:cs="Calibri"/>
          <w:sz w:val="20"/>
          <w:szCs w:val="20"/>
        </w:rPr>
      </w:pPr>
      <w:r w:rsidRPr="009700AE">
        <w:rPr>
          <w:rFonts w:ascii="Calibri" w:hAnsi="Calibri" w:cs="Calibri"/>
          <w:sz w:val="20"/>
          <w:szCs w:val="20"/>
        </w:rPr>
        <w:t>Navigation</w:t>
      </w:r>
    </w:p>
    <w:p w14:paraId="47888C6A" w14:textId="77777777" w:rsidR="009700AE" w:rsidRPr="009700AE" w:rsidRDefault="009700AE" w:rsidP="009700AE"/>
    <w:p w14:paraId="7F807715" w14:textId="5DACD192" w:rsidR="00AA037B" w:rsidRPr="009700AE" w:rsidRDefault="00AA037B" w:rsidP="00AA037B">
      <w:pPr>
        <w:rPr>
          <w:sz w:val="20"/>
          <w:szCs w:val="20"/>
        </w:rPr>
      </w:pPr>
      <w:r w:rsidRPr="009700AE">
        <w:rPr>
          <w:sz w:val="20"/>
          <w:szCs w:val="20"/>
        </w:rPr>
        <w:t xml:space="preserve">Titles used in sections 3 and 4 of this report correspond to worksheets in the Excel document provided showing </w:t>
      </w:r>
      <w:proofErr w:type="gramStart"/>
      <w:r w:rsidRPr="009700AE">
        <w:rPr>
          <w:sz w:val="20"/>
          <w:szCs w:val="20"/>
        </w:rPr>
        <w:t>all of</w:t>
      </w:r>
      <w:proofErr w:type="gramEnd"/>
      <w:r w:rsidRPr="009700AE">
        <w:rPr>
          <w:sz w:val="20"/>
          <w:szCs w:val="20"/>
        </w:rPr>
        <w:t xml:space="preserve"> the results of this project. This workbook also includes charts showing trends in entries and attainment for each of the student and establishment characteristics looked at. Sections 3 and 4 of this report are best read as an accompaniment to these charts.</w:t>
      </w:r>
    </w:p>
    <w:p w14:paraId="283679F1" w14:textId="7DC8A721" w:rsidR="00AA037B" w:rsidRPr="009700AE" w:rsidRDefault="00AA037B">
      <w:pPr>
        <w:spacing w:after="160" w:line="259" w:lineRule="auto"/>
        <w:rPr>
          <w:rFonts w:eastAsiaTheme="majorEastAsia"/>
          <w:color w:val="AC005D" w:themeColor="accent1" w:themeShade="BF"/>
          <w:sz w:val="20"/>
          <w:szCs w:val="20"/>
        </w:rPr>
      </w:pPr>
    </w:p>
    <w:p w14:paraId="6CC28675" w14:textId="2C86D86A" w:rsidR="001A6913" w:rsidRDefault="003B78CE" w:rsidP="009700AE">
      <w:pPr>
        <w:pStyle w:val="Heading2"/>
        <w:numPr>
          <w:ilvl w:val="0"/>
          <w:numId w:val="24"/>
        </w:numPr>
        <w:contextualSpacing/>
        <w:rPr>
          <w:rFonts w:ascii="Calibri" w:hAnsi="Calibri" w:cs="Calibri"/>
          <w:sz w:val="20"/>
          <w:szCs w:val="20"/>
        </w:rPr>
      </w:pPr>
      <w:bookmarkStart w:id="12" w:name="_Toc20306748"/>
      <w:r w:rsidRPr="009700AE">
        <w:rPr>
          <w:rFonts w:ascii="Calibri" w:hAnsi="Calibri" w:cs="Calibri"/>
          <w:sz w:val="20"/>
          <w:szCs w:val="20"/>
        </w:rPr>
        <w:t>Summary</w:t>
      </w:r>
      <w:bookmarkEnd w:id="12"/>
    </w:p>
    <w:p w14:paraId="42E6D504" w14:textId="77777777" w:rsidR="009700AE" w:rsidRPr="009700AE" w:rsidRDefault="009700AE" w:rsidP="009700AE">
      <w:pPr>
        <w:pStyle w:val="ListParagraph"/>
      </w:pPr>
    </w:p>
    <w:p w14:paraId="16035979" w14:textId="55010542" w:rsidR="003B6B7F" w:rsidRPr="009700AE" w:rsidRDefault="00BD5951">
      <w:pPr>
        <w:spacing w:after="160" w:line="259" w:lineRule="auto"/>
        <w:rPr>
          <w:sz w:val="20"/>
          <w:szCs w:val="20"/>
        </w:rPr>
      </w:pPr>
      <w:r w:rsidRPr="009700AE">
        <w:rPr>
          <w:sz w:val="20"/>
          <w:szCs w:val="20"/>
        </w:rPr>
        <w:t xml:space="preserve">Over the period since 2010, entries in </w:t>
      </w:r>
      <w:r w:rsidR="00B52747" w:rsidRPr="009700AE">
        <w:rPr>
          <w:sz w:val="20"/>
          <w:szCs w:val="20"/>
        </w:rPr>
        <w:t xml:space="preserve">geography A-Level have </w:t>
      </w:r>
      <w:r w:rsidR="00B52C22" w:rsidRPr="009700AE">
        <w:rPr>
          <w:sz w:val="20"/>
          <w:szCs w:val="20"/>
        </w:rPr>
        <w:t xml:space="preserve">increased </w:t>
      </w:r>
      <w:r w:rsidR="00B52747" w:rsidRPr="009700AE">
        <w:rPr>
          <w:sz w:val="20"/>
          <w:szCs w:val="20"/>
        </w:rPr>
        <w:t xml:space="preserve">from around 28,500 to </w:t>
      </w:r>
      <w:r w:rsidR="00B52C22" w:rsidRPr="009700AE">
        <w:rPr>
          <w:sz w:val="20"/>
          <w:szCs w:val="20"/>
        </w:rPr>
        <w:t>30</w:t>
      </w:r>
      <w:r w:rsidR="00B52747" w:rsidRPr="009700AE">
        <w:rPr>
          <w:sz w:val="20"/>
          <w:szCs w:val="20"/>
        </w:rPr>
        <w:t>,000 in 2018</w:t>
      </w:r>
      <w:r w:rsidR="00B52C22" w:rsidRPr="009700AE">
        <w:rPr>
          <w:sz w:val="20"/>
          <w:szCs w:val="20"/>
        </w:rPr>
        <w:t>, during which there was a small fall in the number of A-Level students (explained by a drop in the age 18 population). In percentage terms, the share of A-Level students taking geography increased from</w:t>
      </w:r>
      <w:r w:rsidR="00B52747" w:rsidRPr="009700AE">
        <w:rPr>
          <w:sz w:val="20"/>
          <w:szCs w:val="20"/>
        </w:rPr>
        <w:t xml:space="preserve"> 10.7% </w:t>
      </w:r>
      <w:r w:rsidR="00B52C22" w:rsidRPr="009700AE">
        <w:rPr>
          <w:sz w:val="20"/>
          <w:szCs w:val="20"/>
        </w:rPr>
        <w:t xml:space="preserve">in 2010 to </w:t>
      </w:r>
      <w:r w:rsidR="00B52747" w:rsidRPr="009700AE">
        <w:rPr>
          <w:sz w:val="20"/>
          <w:szCs w:val="20"/>
        </w:rPr>
        <w:t>11.</w:t>
      </w:r>
      <w:r w:rsidR="00B52C22" w:rsidRPr="009700AE">
        <w:rPr>
          <w:sz w:val="20"/>
          <w:szCs w:val="20"/>
        </w:rPr>
        <w:t>3</w:t>
      </w:r>
      <w:r w:rsidR="00B52747" w:rsidRPr="009700AE">
        <w:rPr>
          <w:sz w:val="20"/>
          <w:szCs w:val="20"/>
        </w:rPr>
        <w:t>%</w:t>
      </w:r>
      <w:r w:rsidR="00B52C22" w:rsidRPr="009700AE">
        <w:rPr>
          <w:sz w:val="20"/>
          <w:szCs w:val="20"/>
        </w:rPr>
        <w:t xml:space="preserve"> in 2018</w:t>
      </w:r>
      <w:r w:rsidR="00B52747" w:rsidRPr="009700AE">
        <w:rPr>
          <w:sz w:val="20"/>
          <w:szCs w:val="20"/>
        </w:rPr>
        <w:t>.</w:t>
      </w:r>
    </w:p>
    <w:p w14:paraId="2333AA9E" w14:textId="562E9E7C" w:rsidR="00E66653" w:rsidRPr="009700AE" w:rsidRDefault="00E66653" w:rsidP="00AA037B">
      <w:pPr>
        <w:spacing w:after="160" w:line="259" w:lineRule="auto"/>
        <w:jc w:val="center"/>
        <w:rPr>
          <w:sz w:val="20"/>
          <w:szCs w:val="20"/>
        </w:rPr>
      </w:pPr>
      <w:r w:rsidRPr="009700AE">
        <w:rPr>
          <w:noProof/>
          <w:sz w:val="20"/>
          <w:szCs w:val="20"/>
          <w:lang w:eastAsia="en-GB"/>
        </w:rPr>
        <w:drawing>
          <wp:inline distT="0" distB="0" distL="0" distR="0" wp14:anchorId="5582D58F" wp14:editId="3E79C068">
            <wp:extent cx="4600525" cy="33614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s_ks5_c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0525" cy="3361489"/>
                    </a:xfrm>
                    <a:prstGeom prst="rect">
                      <a:avLst/>
                    </a:prstGeom>
                  </pic:spPr>
                </pic:pic>
              </a:graphicData>
            </a:graphic>
          </wp:inline>
        </w:drawing>
      </w:r>
    </w:p>
    <w:p w14:paraId="1F31A72E" w14:textId="6D0CEFAC" w:rsidR="00B52747" w:rsidRPr="009700AE" w:rsidRDefault="00B52747">
      <w:pPr>
        <w:spacing w:after="160" w:line="259" w:lineRule="auto"/>
        <w:rPr>
          <w:sz w:val="20"/>
          <w:szCs w:val="20"/>
        </w:rPr>
      </w:pPr>
      <w:r w:rsidRPr="009700AE">
        <w:rPr>
          <w:sz w:val="20"/>
          <w:szCs w:val="20"/>
        </w:rPr>
        <w:lastRenderedPageBreak/>
        <w:t xml:space="preserve">Throughout this period there have also been a small number of entries into the separate global development A-Level. These reached a recent high of </w:t>
      </w:r>
      <w:r w:rsidR="003B6B7F" w:rsidRPr="009700AE">
        <w:rPr>
          <w:sz w:val="20"/>
          <w:szCs w:val="20"/>
        </w:rPr>
        <w:t xml:space="preserve">around </w:t>
      </w:r>
      <w:r w:rsidRPr="009700AE">
        <w:rPr>
          <w:sz w:val="20"/>
          <w:szCs w:val="20"/>
        </w:rPr>
        <w:t>1,200 in 2014, but were down to 500 in 2018. Analysis elsewhere in this report focuses solely on entry into geography A-Level.</w:t>
      </w:r>
    </w:p>
    <w:p w14:paraId="1DFF74B3" w14:textId="38B27372" w:rsidR="00E7244D" w:rsidRPr="009700AE" w:rsidRDefault="003B6B7F">
      <w:pPr>
        <w:spacing w:after="160" w:line="259" w:lineRule="auto"/>
        <w:rPr>
          <w:sz w:val="20"/>
          <w:szCs w:val="20"/>
        </w:rPr>
      </w:pPr>
      <w:r w:rsidRPr="009700AE">
        <w:rPr>
          <w:sz w:val="20"/>
          <w:szCs w:val="20"/>
        </w:rPr>
        <w:t xml:space="preserve">Attainment in geography </w:t>
      </w:r>
      <w:r w:rsidR="009700AE">
        <w:rPr>
          <w:sz w:val="20"/>
          <w:szCs w:val="20"/>
        </w:rPr>
        <w:t>A-level</w:t>
      </w:r>
      <w:r w:rsidRPr="009700AE">
        <w:rPr>
          <w:sz w:val="20"/>
          <w:szCs w:val="20"/>
        </w:rPr>
        <w:t xml:space="preserve"> is at a lower level than at other p</w:t>
      </w:r>
      <w:r w:rsidR="00E7244D" w:rsidRPr="009700AE">
        <w:rPr>
          <w:sz w:val="20"/>
          <w:szCs w:val="20"/>
        </w:rPr>
        <w:t>oints in the period since 201</w:t>
      </w:r>
      <w:r w:rsidR="006375A5" w:rsidRPr="009700AE">
        <w:rPr>
          <w:sz w:val="20"/>
          <w:szCs w:val="20"/>
        </w:rPr>
        <w:t>0</w:t>
      </w:r>
      <w:r w:rsidR="00E7244D" w:rsidRPr="009700AE">
        <w:rPr>
          <w:sz w:val="20"/>
          <w:szCs w:val="20"/>
        </w:rPr>
        <w:t>, with attainment at grade B or above of 5</w:t>
      </w:r>
      <w:r w:rsidR="006375A5" w:rsidRPr="009700AE">
        <w:rPr>
          <w:sz w:val="20"/>
          <w:szCs w:val="20"/>
        </w:rPr>
        <w:t>5</w:t>
      </w:r>
      <w:r w:rsidR="00E7244D" w:rsidRPr="009700AE">
        <w:rPr>
          <w:sz w:val="20"/>
          <w:szCs w:val="20"/>
        </w:rPr>
        <w:t>.</w:t>
      </w:r>
      <w:r w:rsidR="006375A5" w:rsidRPr="009700AE">
        <w:rPr>
          <w:sz w:val="20"/>
          <w:szCs w:val="20"/>
        </w:rPr>
        <w:t>3</w:t>
      </w:r>
      <w:r w:rsidR="00E7244D" w:rsidRPr="009700AE">
        <w:rPr>
          <w:sz w:val="20"/>
          <w:szCs w:val="20"/>
        </w:rPr>
        <w:t>% in 2018 compared to a high of 59.4% in 2011 and 2012, and attainment at grade A or above of 25</w:t>
      </w:r>
      <w:r w:rsidR="006375A5" w:rsidRPr="009700AE">
        <w:rPr>
          <w:sz w:val="20"/>
          <w:szCs w:val="20"/>
        </w:rPr>
        <w:t>.3</w:t>
      </w:r>
      <w:r w:rsidR="00E7244D" w:rsidRPr="009700AE">
        <w:rPr>
          <w:sz w:val="20"/>
          <w:szCs w:val="20"/>
        </w:rPr>
        <w:t>% versus a high of 3</w:t>
      </w:r>
      <w:r w:rsidR="00187127" w:rsidRPr="009700AE">
        <w:rPr>
          <w:sz w:val="20"/>
          <w:szCs w:val="20"/>
        </w:rPr>
        <w:t>1</w:t>
      </w:r>
      <w:r w:rsidR="00E7244D" w:rsidRPr="009700AE">
        <w:rPr>
          <w:sz w:val="20"/>
          <w:szCs w:val="20"/>
        </w:rPr>
        <w:t>.5% in 2011.</w:t>
      </w:r>
    </w:p>
    <w:p w14:paraId="74DF2A85" w14:textId="42020658" w:rsidR="00E66653" w:rsidRPr="009700AE" w:rsidRDefault="00E66653" w:rsidP="00AA037B">
      <w:pPr>
        <w:spacing w:after="160" w:line="259" w:lineRule="auto"/>
        <w:jc w:val="center"/>
        <w:rPr>
          <w:sz w:val="20"/>
          <w:szCs w:val="20"/>
        </w:rPr>
      </w:pPr>
      <w:r w:rsidRPr="009700AE">
        <w:rPr>
          <w:noProof/>
          <w:sz w:val="20"/>
          <w:szCs w:val="20"/>
          <w:lang w:eastAsia="en-GB"/>
        </w:rPr>
        <w:drawing>
          <wp:inline distT="0" distB="0" distL="0" distR="0" wp14:anchorId="62BA3B8D" wp14:editId="38B48BA6">
            <wp:extent cx="4592075" cy="3362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s_ks5_ch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92075" cy="3362218"/>
                    </a:xfrm>
                    <a:prstGeom prst="rect">
                      <a:avLst/>
                    </a:prstGeom>
                  </pic:spPr>
                </pic:pic>
              </a:graphicData>
            </a:graphic>
          </wp:inline>
        </w:drawing>
      </w:r>
    </w:p>
    <w:p w14:paraId="7CE28C0E" w14:textId="36AD1F34" w:rsidR="00E7244D" w:rsidRPr="009700AE" w:rsidRDefault="00E7244D">
      <w:pPr>
        <w:spacing w:after="160" w:line="259" w:lineRule="auto"/>
        <w:rPr>
          <w:sz w:val="20"/>
          <w:szCs w:val="20"/>
        </w:rPr>
      </w:pPr>
      <w:r w:rsidRPr="009700AE">
        <w:rPr>
          <w:sz w:val="20"/>
          <w:szCs w:val="20"/>
        </w:rPr>
        <w:t xml:space="preserve">The decline in attainment is </w:t>
      </w:r>
      <w:r w:rsidR="006375A5" w:rsidRPr="009700AE">
        <w:rPr>
          <w:sz w:val="20"/>
          <w:szCs w:val="20"/>
        </w:rPr>
        <w:t>greater</w:t>
      </w:r>
      <w:r w:rsidRPr="009700AE">
        <w:rPr>
          <w:sz w:val="20"/>
          <w:szCs w:val="20"/>
        </w:rPr>
        <w:t xml:space="preserve"> in the period since 2014, during which entry numbers grew most strongly. Growth in entries </w:t>
      </w:r>
      <w:r w:rsidR="00E819B4" w:rsidRPr="009700AE">
        <w:rPr>
          <w:sz w:val="20"/>
          <w:szCs w:val="20"/>
        </w:rPr>
        <w:t xml:space="preserve">from those with the highest prior attainment has not been as strong as for those </w:t>
      </w:r>
      <w:r w:rsidR="006375A5" w:rsidRPr="009700AE">
        <w:rPr>
          <w:sz w:val="20"/>
          <w:szCs w:val="20"/>
        </w:rPr>
        <w:t xml:space="preserve">slightly </w:t>
      </w:r>
      <w:r w:rsidR="00E819B4" w:rsidRPr="009700AE">
        <w:rPr>
          <w:sz w:val="20"/>
          <w:szCs w:val="20"/>
        </w:rPr>
        <w:t>lower down the ability range, which is likely to explain much of this decline in A-Level attainment.</w:t>
      </w:r>
    </w:p>
    <w:p w14:paraId="7ED35A51" w14:textId="75349BA3" w:rsidR="009135D2" w:rsidRPr="009700AE" w:rsidRDefault="00E7244D" w:rsidP="00B52747">
      <w:pPr>
        <w:spacing w:after="160" w:line="259" w:lineRule="auto"/>
        <w:rPr>
          <w:sz w:val="20"/>
          <w:szCs w:val="20"/>
        </w:rPr>
      </w:pPr>
      <w:r w:rsidRPr="009700AE">
        <w:rPr>
          <w:sz w:val="20"/>
          <w:szCs w:val="20"/>
        </w:rPr>
        <w:t xml:space="preserve">A </w:t>
      </w:r>
      <w:r w:rsidR="003B6B7F" w:rsidRPr="009700AE">
        <w:rPr>
          <w:sz w:val="20"/>
          <w:szCs w:val="20"/>
        </w:rPr>
        <w:t xml:space="preserve">pronounced dip in attainment </w:t>
      </w:r>
      <w:r w:rsidRPr="009700AE">
        <w:rPr>
          <w:sz w:val="20"/>
          <w:szCs w:val="20"/>
        </w:rPr>
        <w:t xml:space="preserve">occurred </w:t>
      </w:r>
      <w:r w:rsidR="003B6B7F" w:rsidRPr="009700AE">
        <w:rPr>
          <w:sz w:val="20"/>
          <w:szCs w:val="20"/>
        </w:rPr>
        <w:t>between 2017 and 2018</w:t>
      </w:r>
      <w:r w:rsidR="00DF5D0D" w:rsidRPr="009700AE">
        <w:rPr>
          <w:sz w:val="20"/>
          <w:szCs w:val="20"/>
        </w:rPr>
        <w:t>,</w:t>
      </w:r>
      <w:r w:rsidRPr="009700AE">
        <w:rPr>
          <w:sz w:val="20"/>
          <w:szCs w:val="20"/>
        </w:rPr>
        <w:t xml:space="preserve"> when there was a corresponding </w:t>
      </w:r>
      <w:r w:rsidR="003B6B7F" w:rsidRPr="009700AE">
        <w:rPr>
          <w:sz w:val="20"/>
          <w:szCs w:val="20"/>
        </w:rPr>
        <w:t>decrease in geography entries</w:t>
      </w:r>
      <w:r w:rsidRPr="009700AE">
        <w:rPr>
          <w:sz w:val="20"/>
          <w:szCs w:val="20"/>
        </w:rPr>
        <w:t xml:space="preserve">. This decrease in entries was driven largely by a reduction in entries in the independent sector – where on average students </w:t>
      </w:r>
      <w:r w:rsidR="009700AE">
        <w:rPr>
          <w:sz w:val="20"/>
          <w:szCs w:val="20"/>
        </w:rPr>
        <w:t>have higher attainment</w:t>
      </w:r>
      <w:r w:rsidRPr="009700AE">
        <w:rPr>
          <w:sz w:val="20"/>
          <w:szCs w:val="20"/>
        </w:rPr>
        <w:t>.</w:t>
      </w:r>
    </w:p>
    <w:p w14:paraId="22C9C250" w14:textId="13663D2C" w:rsidR="003B78CE" w:rsidRPr="009700AE" w:rsidRDefault="003F0436" w:rsidP="003B78CE">
      <w:pPr>
        <w:pStyle w:val="Heading2"/>
        <w:contextualSpacing/>
        <w:rPr>
          <w:rFonts w:ascii="Calibri" w:hAnsi="Calibri" w:cs="Calibri"/>
          <w:sz w:val="20"/>
          <w:szCs w:val="20"/>
        </w:rPr>
      </w:pPr>
      <w:bookmarkStart w:id="13" w:name="_Toc20306749"/>
      <w:r w:rsidRPr="009700AE">
        <w:rPr>
          <w:rFonts w:ascii="Calibri" w:hAnsi="Calibri" w:cs="Calibri"/>
          <w:sz w:val="20"/>
          <w:szCs w:val="20"/>
        </w:rPr>
        <w:t>3.</w:t>
      </w:r>
      <w:r w:rsidR="003B78CE" w:rsidRPr="009700AE">
        <w:rPr>
          <w:rFonts w:ascii="Calibri" w:hAnsi="Calibri" w:cs="Calibri"/>
          <w:sz w:val="20"/>
          <w:szCs w:val="20"/>
        </w:rPr>
        <w:t xml:space="preserve"> </w:t>
      </w:r>
      <w:r w:rsidR="009135D2" w:rsidRPr="009700AE">
        <w:rPr>
          <w:rFonts w:ascii="Calibri" w:hAnsi="Calibri" w:cs="Calibri"/>
          <w:sz w:val="20"/>
          <w:szCs w:val="20"/>
        </w:rPr>
        <w:t>Student</w:t>
      </w:r>
      <w:r w:rsidR="003B78CE" w:rsidRPr="009700AE">
        <w:rPr>
          <w:rFonts w:ascii="Calibri" w:hAnsi="Calibri" w:cs="Calibri"/>
          <w:sz w:val="20"/>
          <w:szCs w:val="20"/>
        </w:rPr>
        <w:t xml:space="preserve"> characteristics</w:t>
      </w:r>
      <w:bookmarkEnd w:id="13"/>
    </w:p>
    <w:p w14:paraId="31304477" w14:textId="1C76B18E" w:rsidR="003B78CE" w:rsidRDefault="003F0436" w:rsidP="003B78CE">
      <w:pPr>
        <w:pStyle w:val="Heading3"/>
        <w:contextualSpacing/>
        <w:rPr>
          <w:rFonts w:ascii="Calibri" w:eastAsia="Times New Roman" w:hAnsi="Calibri" w:cs="Calibri"/>
          <w:sz w:val="20"/>
          <w:szCs w:val="20"/>
        </w:rPr>
      </w:pPr>
      <w:bookmarkStart w:id="14" w:name="_Toc20306750"/>
      <w:r w:rsidRPr="009700AE">
        <w:rPr>
          <w:rFonts w:ascii="Calibri" w:eastAsia="Times New Roman" w:hAnsi="Calibri" w:cs="Calibri"/>
          <w:sz w:val="20"/>
          <w:szCs w:val="20"/>
        </w:rPr>
        <w:t>3.</w:t>
      </w:r>
      <w:r w:rsidR="003B78CE" w:rsidRPr="009700AE">
        <w:rPr>
          <w:rFonts w:ascii="Calibri" w:eastAsia="Times New Roman" w:hAnsi="Calibri" w:cs="Calibri"/>
          <w:sz w:val="20"/>
          <w:szCs w:val="20"/>
        </w:rPr>
        <w:t>1 Gender</w:t>
      </w:r>
      <w:bookmarkEnd w:id="14"/>
    </w:p>
    <w:p w14:paraId="7E43B90B" w14:textId="77777777" w:rsidR="009700AE" w:rsidRPr="009700AE" w:rsidRDefault="009700AE" w:rsidP="009700AE"/>
    <w:p w14:paraId="19F9A864" w14:textId="3B03B9CA" w:rsidR="00E819B4" w:rsidRPr="009700AE" w:rsidRDefault="00E819B4" w:rsidP="00E819B4">
      <w:pPr>
        <w:spacing w:after="160" w:line="259" w:lineRule="auto"/>
        <w:rPr>
          <w:rFonts w:eastAsia="Times New Roman"/>
          <w:sz w:val="20"/>
          <w:szCs w:val="20"/>
        </w:rPr>
      </w:pPr>
      <w:r w:rsidRPr="009700AE">
        <w:rPr>
          <w:rFonts w:eastAsia="Times New Roman"/>
          <w:sz w:val="20"/>
          <w:szCs w:val="20"/>
        </w:rPr>
        <w:t>Looked at by gender, there has been a halving of what started out as a sizeable gap in A-Level geography entry rates between 2010 and 2018. In 2010, a gap of 3.6 percentage points existed (12.6% of male students taking A-Levels took geography, versus 9% of female students), reducing to one of 1.7 percentage points in 2018 (12.</w:t>
      </w:r>
      <w:r w:rsidR="006375A5" w:rsidRPr="009700AE">
        <w:rPr>
          <w:rFonts w:eastAsia="Times New Roman"/>
          <w:sz w:val="20"/>
          <w:szCs w:val="20"/>
        </w:rPr>
        <w:t>3</w:t>
      </w:r>
      <w:r w:rsidRPr="009700AE">
        <w:rPr>
          <w:rFonts w:eastAsia="Times New Roman"/>
          <w:sz w:val="20"/>
          <w:szCs w:val="20"/>
        </w:rPr>
        <w:t>% versus 10.</w:t>
      </w:r>
      <w:r w:rsidR="006375A5" w:rsidRPr="009700AE">
        <w:rPr>
          <w:rFonts w:eastAsia="Times New Roman"/>
          <w:sz w:val="20"/>
          <w:szCs w:val="20"/>
        </w:rPr>
        <w:t>6</w:t>
      </w:r>
      <w:r w:rsidRPr="009700AE">
        <w:rPr>
          <w:rFonts w:eastAsia="Times New Roman"/>
          <w:sz w:val="20"/>
          <w:szCs w:val="20"/>
        </w:rPr>
        <w:t>%).</w:t>
      </w:r>
    </w:p>
    <w:p w14:paraId="22857A28" w14:textId="16897CAD" w:rsidR="009135D2" w:rsidRPr="009700AE" w:rsidRDefault="00E819B4">
      <w:pPr>
        <w:spacing w:after="160" w:line="259" w:lineRule="auto"/>
        <w:rPr>
          <w:rFonts w:eastAsia="Times New Roman"/>
          <w:sz w:val="20"/>
          <w:szCs w:val="20"/>
        </w:rPr>
      </w:pPr>
      <w:r w:rsidRPr="009700AE">
        <w:rPr>
          <w:rFonts w:eastAsia="Times New Roman"/>
          <w:sz w:val="20"/>
          <w:szCs w:val="20"/>
        </w:rPr>
        <w:t>Over the same period, a gender gap</w:t>
      </w:r>
      <w:r w:rsidR="006375A5" w:rsidRPr="009700AE">
        <w:rPr>
          <w:rFonts w:eastAsia="Times New Roman"/>
          <w:sz w:val="20"/>
          <w:szCs w:val="20"/>
        </w:rPr>
        <w:t xml:space="preserve"> in attainment</w:t>
      </w:r>
      <w:r w:rsidRPr="009700AE">
        <w:rPr>
          <w:rFonts w:eastAsia="Times New Roman"/>
          <w:sz w:val="20"/>
          <w:szCs w:val="20"/>
        </w:rPr>
        <w:t xml:space="preserve"> in favour of</w:t>
      </w:r>
      <w:r w:rsidR="006375A5" w:rsidRPr="009700AE">
        <w:rPr>
          <w:rFonts w:eastAsia="Times New Roman"/>
          <w:sz w:val="20"/>
          <w:szCs w:val="20"/>
        </w:rPr>
        <w:t xml:space="preserve"> female students has persisted –</w:t>
      </w:r>
      <w:r w:rsidR="00E979CC" w:rsidRPr="009700AE">
        <w:rPr>
          <w:rFonts w:eastAsia="Times New Roman"/>
          <w:sz w:val="20"/>
          <w:szCs w:val="20"/>
        </w:rPr>
        <w:t xml:space="preserve"> and stood at the</w:t>
      </w:r>
      <w:r w:rsidR="006375A5" w:rsidRPr="009700AE">
        <w:rPr>
          <w:rFonts w:eastAsia="Times New Roman"/>
          <w:sz w:val="20"/>
          <w:szCs w:val="20"/>
        </w:rPr>
        <w:t xml:space="preserve"> highest level </w:t>
      </w:r>
      <w:r w:rsidR="00E979CC" w:rsidRPr="009700AE">
        <w:rPr>
          <w:rFonts w:eastAsia="Times New Roman"/>
          <w:sz w:val="20"/>
          <w:szCs w:val="20"/>
        </w:rPr>
        <w:t>in 2018 in all three of the attainment measures considered (attainment of grade A or above, attainment of grade B or above, and average point score).</w:t>
      </w:r>
      <w:r w:rsidR="006375A5" w:rsidRPr="009700AE">
        <w:rPr>
          <w:rFonts w:eastAsia="Times New Roman"/>
          <w:sz w:val="20"/>
          <w:szCs w:val="20"/>
        </w:rPr>
        <w:t xml:space="preserve"> In terms of average point scores, a gap of 3.7 points was present in 2018</w:t>
      </w:r>
      <w:r w:rsidR="00E979CC" w:rsidRPr="009700AE">
        <w:rPr>
          <w:rFonts w:eastAsia="Times New Roman"/>
          <w:sz w:val="20"/>
          <w:szCs w:val="20"/>
        </w:rPr>
        <w:t xml:space="preserve"> – equal to a little more than a third of a grade.</w:t>
      </w:r>
    </w:p>
    <w:p w14:paraId="096FC574" w14:textId="5DF887FA" w:rsidR="003B78CE" w:rsidRDefault="003F0436" w:rsidP="003B78CE">
      <w:pPr>
        <w:pStyle w:val="Heading3"/>
        <w:contextualSpacing/>
        <w:rPr>
          <w:rFonts w:ascii="Calibri" w:eastAsia="Times New Roman" w:hAnsi="Calibri" w:cs="Calibri"/>
          <w:sz w:val="20"/>
          <w:szCs w:val="20"/>
        </w:rPr>
      </w:pPr>
      <w:bookmarkStart w:id="15" w:name="_Toc20306751"/>
      <w:r w:rsidRPr="009700AE">
        <w:rPr>
          <w:rFonts w:ascii="Calibri" w:eastAsia="Times New Roman" w:hAnsi="Calibri" w:cs="Calibri"/>
          <w:sz w:val="20"/>
          <w:szCs w:val="20"/>
        </w:rPr>
        <w:t>3.</w:t>
      </w:r>
      <w:r w:rsidR="003B78CE" w:rsidRPr="009700AE">
        <w:rPr>
          <w:rFonts w:ascii="Calibri" w:eastAsia="Times New Roman" w:hAnsi="Calibri" w:cs="Calibri"/>
          <w:sz w:val="20"/>
          <w:szCs w:val="20"/>
        </w:rPr>
        <w:t>2 Disadvantage</w:t>
      </w:r>
      <w:bookmarkEnd w:id="15"/>
    </w:p>
    <w:p w14:paraId="071ECC84" w14:textId="77777777" w:rsidR="009700AE" w:rsidRPr="009700AE" w:rsidRDefault="009700AE" w:rsidP="009700AE"/>
    <w:p w14:paraId="3E8F9D8D" w14:textId="19D2D863" w:rsidR="00214723" w:rsidRPr="009700AE" w:rsidRDefault="00E819B4">
      <w:pPr>
        <w:spacing w:after="160" w:line="259" w:lineRule="auto"/>
        <w:rPr>
          <w:rFonts w:eastAsia="Times New Roman"/>
          <w:sz w:val="20"/>
          <w:szCs w:val="20"/>
        </w:rPr>
      </w:pPr>
      <w:r w:rsidRPr="009700AE">
        <w:rPr>
          <w:rFonts w:eastAsia="Times New Roman"/>
          <w:sz w:val="20"/>
          <w:szCs w:val="20"/>
        </w:rPr>
        <w:lastRenderedPageBreak/>
        <w:t>There is a stark gap in entry rates between students who were disadvantaged during their final six years in education up to age sixteen</w:t>
      </w:r>
      <w:r w:rsidR="00214723" w:rsidRPr="009700AE">
        <w:rPr>
          <w:rStyle w:val="FootnoteReference"/>
          <w:rFonts w:eastAsia="Times New Roman"/>
          <w:sz w:val="20"/>
          <w:szCs w:val="20"/>
        </w:rPr>
        <w:footnoteReference w:id="2"/>
      </w:r>
      <w:r w:rsidR="00214723" w:rsidRPr="009700AE">
        <w:rPr>
          <w:rFonts w:eastAsia="Times New Roman"/>
          <w:sz w:val="20"/>
          <w:szCs w:val="20"/>
        </w:rPr>
        <w:t xml:space="preserve"> and those who were not disadvantaged – although the gap in 2018 was the lowest it has been in the period 2010</w:t>
      </w:r>
      <w:r w:rsidR="00E979CC" w:rsidRPr="009700AE">
        <w:rPr>
          <w:rFonts w:eastAsia="Times New Roman"/>
          <w:sz w:val="20"/>
          <w:szCs w:val="20"/>
        </w:rPr>
        <w:t xml:space="preserve"> to 2018</w:t>
      </w:r>
      <w:r w:rsidR="00214723" w:rsidRPr="009700AE">
        <w:rPr>
          <w:rFonts w:eastAsia="Times New Roman"/>
          <w:sz w:val="20"/>
          <w:szCs w:val="20"/>
        </w:rPr>
        <w:t>. In 2018 it stood at 5.</w:t>
      </w:r>
      <w:r w:rsidR="002C182B" w:rsidRPr="009700AE">
        <w:rPr>
          <w:rFonts w:eastAsia="Times New Roman"/>
          <w:sz w:val="20"/>
          <w:szCs w:val="20"/>
        </w:rPr>
        <w:t>6</w:t>
      </w:r>
      <w:r w:rsidR="00214723" w:rsidRPr="009700AE">
        <w:rPr>
          <w:rFonts w:eastAsia="Times New Roman"/>
          <w:sz w:val="20"/>
          <w:szCs w:val="20"/>
        </w:rPr>
        <w:t xml:space="preserve"> percentage points (1</w:t>
      </w:r>
      <w:r w:rsidR="002C182B" w:rsidRPr="009700AE">
        <w:rPr>
          <w:rFonts w:eastAsia="Times New Roman"/>
          <w:sz w:val="20"/>
          <w:szCs w:val="20"/>
        </w:rPr>
        <w:t>2</w:t>
      </w:r>
      <w:r w:rsidR="00214723" w:rsidRPr="009700AE">
        <w:rPr>
          <w:rFonts w:eastAsia="Times New Roman"/>
          <w:sz w:val="20"/>
          <w:szCs w:val="20"/>
        </w:rPr>
        <w:t>.</w:t>
      </w:r>
      <w:r w:rsidR="002C182B" w:rsidRPr="009700AE">
        <w:rPr>
          <w:rFonts w:eastAsia="Times New Roman"/>
          <w:sz w:val="20"/>
          <w:szCs w:val="20"/>
        </w:rPr>
        <w:t>1</w:t>
      </w:r>
      <w:r w:rsidR="00214723" w:rsidRPr="009700AE">
        <w:rPr>
          <w:rFonts w:eastAsia="Times New Roman"/>
          <w:sz w:val="20"/>
          <w:szCs w:val="20"/>
        </w:rPr>
        <w:t>% of non-disadvantaged A-Level students entering geography, versus 6.5% of disadvantaged students) – down from a high of 6.3 percentage points the previous year.</w:t>
      </w:r>
    </w:p>
    <w:p w14:paraId="447A7A1C" w14:textId="77777777" w:rsidR="002C182B" w:rsidRPr="009700AE" w:rsidRDefault="00214723">
      <w:pPr>
        <w:spacing w:after="160" w:line="259" w:lineRule="auto"/>
        <w:rPr>
          <w:rFonts w:eastAsia="Times New Roman"/>
          <w:sz w:val="20"/>
          <w:szCs w:val="20"/>
        </w:rPr>
      </w:pPr>
      <w:r w:rsidRPr="009700AE">
        <w:rPr>
          <w:rFonts w:eastAsia="Times New Roman"/>
          <w:sz w:val="20"/>
          <w:szCs w:val="20"/>
        </w:rPr>
        <w:t>Attainment gaps at grade B or above and grade A or above were also some way smaller in 2018 than ha</w:t>
      </w:r>
      <w:r w:rsidR="002C182B" w:rsidRPr="009700AE">
        <w:rPr>
          <w:rFonts w:eastAsia="Times New Roman"/>
          <w:sz w:val="20"/>
          <w:szCs w:val="20"/>
        </w:rPr>
        <w:t>d</w:t>
      </w:r>
      <w:r w:rsidRPr="009700AE">
        <w:rPr>
          <w:rFonts w:eastAsia="Times New Roman"/>
          <w:sz w:val="20"/>
          <w:szCs w:val="20"/>
        </w:rPr>
        <w:t xml:space="preserve"> been the case in preceding years. 2</w:t>
      </w:r>
      <w:r w:rsidR="002C182B" w:rsidRPr="009700AE">
        <w:rPr>
          <w:rFonts w:eastAsia="Times New Roman"/>
          <w:sz w:val="20"/>
          <w:szCs w:val="20"/>
        </w:rPr>
        <w:t>4</w:t>
      </w:r>
      <w:r w:rsidRPr="009700AE">
        <w:rPr>
          <w:rFonts w:eastAsia="Times New Roman"/>
          <w:sz w:val="20"/>
          <w:szCs w:val="20"/>
        </w:rPr>
        <w:t>% of non-disadvantaged students achieved a grade A or above, compared to 15</w:t>
      </w:r>
      <w:r w:rsidR="002C182B" w:rsidRPr="009700AE">
        <w:rPr>
          <w:rFonts w:eastAsia="Times New Roman"/>
          <w:sz w:val="20"/>
          <w:szCs w:val="20"/>
        </w:rPr>
        <w:t>.2</w:t>
      </w:r>
      <w:r w:rsidRPr="009700AE">
        <w:rPr>
          <w:rFonts w:eastAsia="Times New Roman"/>
          <w:sz w:val="20"/>
          <w:szCs w:val="20"/>
        </w:rPr>
        <w:t>% of disadvantaged students – a gap of 8.</w:t>
      </w:r>
      <w:r w:rsidR="002C182B" w:rsidRPr="009700AE">
        <w:rPr>
          <w:rFonts w:eastAsia="Times New Roman"/>
          <w:sz w:val="20"/>
          <w:szCs w:val="20"/>
        </w:rPr>
        <w:t>8</w:t>
      </w:r>
      <w:r w:rsidRPr="009700AE">
        <w:rPr>
          <w:rFonts w:eastAsia="Times New Roman"/>
          <w:sz w:val="20"/>
          <w:szCs w:val="20"/>
        </w:rPr>
        <w:t xml:space="preserve"> percentage points.</w:t>
      </w:r>
    </w:p>
    <w:p w14:paraId="39973EC9" w14:textId="77777777" w:rsidR="002C182B" w:rsidRPr="009700AE" w:rsidRDefault="00214723">
      <w:pPr>
        <w:spacing w:after="160" w:line="259" w:lineRule="auto"/>
        <w:rPr>
          <w:rFonts w:eastAsia="Times New Roman"/>
          <w:sz w:val="20"/>
          <w:szCs w:val="20"/>
        </w:rPr>
      </w:pPr>
      <w:r w:rsidRPr="009700AE">
        <w:rPr>
          <w:rFonts w:eastAsia="Times New Roman"/>
          <w:sz w:val="20"/>
          <w:szCs w:val="20"/>
        </w:rPr>
        <w:t xml:space="preserve">The gap had only been less than 9 percentage points in two other years </w:t>
      </w:r>
      <w:r w:rsidR="002C182B" w:rsidRPr="009700AE">
        <w:rPr>
          <w:rFonts w:eastAsia="Times New Roman"/>
          <w:sz w:val="20"/>
          <w:szCs w:val="20"/>
        </w:rPr>
        <w:t>in the period from 2010, and the narrowing of the gap is even more pronounced when considering attainment at grade B or above.</w:t>
      </w:r>
    </w:p>
    <w:p w14:paraId="599E0D26" w14:textId="39413CE9" w:rsidR="009135D2" w:rsidRPr="009700AE" w:rsidRDefault="002C182B">
      <w:pPr>
        <w:spacing w:after="160" w:line="259" w:lineRule="auto"/>
        <w:rPr>
          <w:rFonts w:eastAsia="Times New Roman"/>
          <w:sz w:val="20"/>
          <w:szCs w:val="20"/>
        </w:rPr>
      </w:pPr>
      <w:r w:rsidRPr="009700AE">
        <w:rPr>
          <w:rFonts w:eastAsia="Times New Roman"/>
          <w:sz w:val="20"/>
          <w:szCs w:val="20"/>
        </w:rPr>
        <w:t>This suggests that the increase in the share of disadvantaged students taking geography A-Level did not come overwhelmingly from the bottom end of the ability range.</w:t>
      </w:r>
    </w:p>
    <w:p w14:paraId="37876388" w14:textId="24EE00B6" w:rsidR="003B78CE" w:rsidRDefault="003F0436" w:rsidP="003B78CE">
      <w:pPr>
        <w:pStyle w:val="Heading3"/>
        <w:contextualSpacing/>
        <w:rPr>
          <w:rFonts w:ascii="Calibri" w:eastAsia="Times New Roman" w:hAnsi="Calibri" w:cs="Calibri"/>
          <w:sz w:val="20"/>
          <w:szCs w:val="20"/>
        </w:rPr>
      </w:pPr>
      <w:bookmarkStart w:id="16" w:name="_Toc20306752"/>
      <w:r w:rsidRPr="009700AE">
        <w:rPr>
          <w:rFonts w:ascii="Calibri" w:eastAsia="Times New Roman" w:hAnsi="Calibri" w:cs="Calibri"/>
          <w:sz w:val="20"/>
          <w:szCs w:val="20"/>
        </w:rPr>
        <w:t>3.</w:t>
      </w:r>
      <w:r w:rsidR="003B78CE" w:rsidRPr="009700AE">
        <w:rPr>
          <w:rFonts w:ascii="Calibri" w:eastAsia="Times New Roman" w:hAnsi="Calibri" w:cs="Calibri"/>
          <w:sz w:val="20"/>
          <w:szCs w:val="20"/>
        </w:rPr>
        <w:t>3 Ethnicity</w:t>
      </w:r>
      <w:bookmarkEnd w:id="16"/>
    </w:p>
    <w:p w14:paraId="43989E9F" w14:textId="77777777" w:rsidR="009700AE" w:rsidRPr="009700AE" w:rsidRDefault="009700AE" w:rsidP="009700AE"/>
    <w:p w14:paraId="64765616" w14:textId="14162E8D" w:rsidR="00D40B35" w:rsidRPr="009700AE" w:rsidRDefault="00D40B35">
      <w:pPr>
        <w:spacing w:after="160" w:line="259" w:lineRule="auto"/>
        <w:rPr>
          <w:rFonts w:eastAsia="Times New Roman"/>
          <w:sz w:val="20"/>
          <w:szCs w:val="20"/>
        </w:rPr>
      </w:pPr>
      <w:r w:rsidRPr="009700AE">
        <w:rPr>
          <w:rFonts w:eastAsia="Times New Roman"/>
          <w:sz w:val="20"/>
          <w:szCs w:val="20"/>
        </w:rPr>
        <w:t xml:space="preserve">There are fairly sizeable disparities in A-Level geography entry rates </w:t>
      </w:r>
      <w:r w:rsidR="002C182B" w:rsidRPr="009700AE">
        <w:rPr>
          <w:rFonts w:eastAsia="Times New Roman"/>
          <w:sz w:val="20"/>
          <w:szCs w:val="20"/>
        </w:rPr>
        <w:t xml:space="preserve">when considered by ethnicity </w:t>
      </w:r>
      <w:r w:rsidRPr="009700AE">
        <w:rPr>
          <w:rFonts w:eastAsia="Times New Roman"/>
          <w:sz w:val="20"/>
          <w:szCs w:val="20"/>
        </w:rPr>
        <w:t>– though</w:t>
      </w:r>
      <w:r w:rsidR="00B465DF" w:rsidRPr="009700AE">
        <w:rPr>
          <w:rFonts w:eastAsia="Times New Roman"/>
          <w:sz w:val="20"/>
          <w:szCs w:val="20"/>
        </w:rPr>
        <w:t xml:space="preserve"> disparities</w:t>
      </w:r>
      <w:r w:rsidRPr="009700AE">
        <w:rPr>
          <w:rFonts w:eastAsia="Times New Roman"/>
          <w:sz w:val="20"/>
          <w:szCs w:val="20"/>
        </w:rPr>
        <w:t xml:space="preserve"> in attainment</w:t>
      </w:r>
      <w:r w:rsidR="00B465DF" w:rsidRPr="009700AE">
        <w:rPr>
          <w:rFonts w:eastAsia="Times New Roman"/>
          <w:sz w:val="20"/>
          <w:szCs w:val="20"/>
        </w:rPr>
        <w:t xml:space="preserve"> are less noticeable</w:t>
      </w:r>
      <w:r w:rsidRPr="009700AE">
        <w:rPr>
          <w:rFonts w:eastAsia="Times New Roman"/>
          <w:sz w:val="20"/>
          <w:szCs w:val="20"/>
        </w:rPr>
        <w:t>.</w:t>
      </w:r>
    </w:p>
    <w:p w14:paraId="3AB6FA1A" w14:textId="2D859CC2" w:rsidR="00D40B35" w:rsidRPr="009700AE" w:rsidRDefault="00D40B35">
      <w:pPr>
        <w:spacing w:after="160" w:line="259" w:lineRule="auto"/>
        <w:rPr>
          <w:rFonts w:eastAsia="Times New Roman"/>
          <w:sz w:val="20"/>
          <w:szCs w:val="20"/>
        </w:rPr>
      </w:pPr>
      <w:r w:rsidRPr="009700AE">
        <w:rPr>
          <w:rFonts w:eastAsia="Times New Roman"/>
          <w:sz w:val="20"/>
          <w:szCs w:val="20"/>
        </w:rPr>
        <w:t>Entry rates for all major ethnic groups have increased over the period since 2010, with more than 5% of A-Level students in each ethnic group taking geography in 2018 (in 2010 this was not the case for Asian/Asian British or black/black British students).</w:t>
      </w:r>
    </w:p>
    <w:p w14:paraId="572872CF" w14:textId="4B7A6098" w:rsidR="00D40B35" w:rsidRPr="009700AE" w:rsidRDefault="00D40B35">
      <w:pPr>
        <w:spacing w:after="160" w:line="259" w:lineRule="auto"/>
        <w:rPr>
          <w:rFonts w:eastAsia="Times New Roman"/>
          <w:sz w:val="20"/>
          <w:szCs w:val="20"/>
        </w:rPr>
      </w:pPr>
      <w:r w:rsidRPr="009700AE">
        <w:rPr>
          <w:rFonts w:eastAsia="Times New Roman"/>
          <w:sz w:val="20"/>
          <w:szCs w:val="20"/>
        </w:rPr>
        <w:t>Differences in attainment between ethnic groups are small – particularly when average point scores are considered. The exception to this is the black/black British group, for whom attainment is some way below that of other groups – mirroring something that is the case in other subjects.</w:t>
      </w:r>
      <w:r w:rsidR="002C182B" w:rsidRPr="009700AE">
        <w:rPr>
          <w:rFonts w:eastAsia="Times New Roman"/>
          <w:sz w:val="20"/>
          <w:szCs w:val="20"/>
        </w:rPr>
        <w:t xml:space="preserve"> Attainment for this group also appears to have dropped more between 2017 and 2018 than was the case for students of other ethnicities.</w:t>
      </w:r>
    </w:p>
    <w:p w14:paraId="52E660DE" w14:textId="6AFEEDB7" w:rsidR="009135D2" w:rsidRPr="009700AE" w:rsidRDefault="00D40B35">
      <w:pPr>
        <w:spacing w:after="160" w:line="259" w:lineRule="auto"/>
        <w:rPr>
          <w:rFonts w:eastAsia="Times New Roman"/>
          <w:color w:val="72003E" w:themeColor="accent1" w:themeShade="7F"/>
          <w:sz w:val="20"/>
          <w:szCs w:val="20"/>
        </w:rPr>
      </w:pPr>
      <w:r w:rsidRPr="009700AE">
        <w:rPr>
          <w:rFonts w:eastAsia="Times New Roman"/>
          <w:sz w:val="20"/>
          <w:szCs w:val="20"/>
        </w:rPr>
        <w:t xml:space="preserve">The group for whom ethnicity data is not available will almost exclusively be in the independent sector. </w:t>
      </w:r>
      <w:r w:rsidR="009700AE">
        <w:rPr>
          <w:rFonts w:eastAsia="Times New Roman"/>
          <w:sz w:val="20"/>
          <w:szCs w:val="20"/>
        </w:rPr>
        <w:t>There is h</w:t>
      </w:r>
      <w:r w:rsidRPr="009700AE">
        <w:rPr>
          <w:rFonts w:eastAsia="Times New Roman"/>
          <w:sz w:val="20"/>
          <w:szCs w:val="20"/>
        </w:rPr>
        <w:t xml:space="preserve">igh A-Level geography attainment for this group </w:t>
      </w:r>
      <w:r w:rsidR="002C182B" w:rsidRPr="009700AE">
        <w:rPr>
          <w:rFonts w:eastAsia="Times New Roman"/>
          <w:sz w:val="20"/>
          <w:szCs w:val="20"/>
        </w:rPr>
        <w:t>– an average point score in 2018 of 41.2, equal to a li</w:t>
      </w:r>
      <w:r w:rsidR="009700AE">
        <w:rPr>
          <w:rFonts w:eastAsia="Times New Roman"/>
          <w:sz w:val="20"/>
          <w:szCs w:val="20"/>
        </w:rPr>
        <w:t>ttle higher than a grade B</w:t>
      </w:r>
      <w:r w:rsidRPr="009700AE">
        <w:rPr>
          <w:rFonts w:eastAsia="Times New Roman"/>
          <w:sz w:val="20"/>
          <w:szCs w:val="20"/>
        </w:rPr>
        <w:t>.</w:t>
      </w:r>
    </w:p>
    <w:p w14:paraId="466610D8" w14:textId="0692088F" w:rsidR="003B78CE" w:rsidRDefault="003F0436" w:rsidP="003B78CE">
      <w:pPr>
        <w:pStyle w:val="Heading3"/>
        <w:contextualSpacing/>
        <w:rPr>
          <w:rFonts w:ascii="Calibri" w:eastAsia="Times New Roman" w:hAnsi="Calibri" w:cs="Calibri"/>
          <w:sz w:val="20"/>
          <w:szCs w:val="20"/>
        </w:rPr>
      </w:pPr>
      <w:bookmarkStart w:id="17" w:name="_Toc20306753"/>
      <w:r w:rsidRPr="009700AE">
        <w:rPr>
          <w:rFonts w:ascii="Calibri" w:eastAsia="Times New Roman" w:hAnsi="Calibri" w:cs="Calibri"/>
          <w:sz w:val="20"/>
          <w:szCs w:val="20"/>
        </w:rPr>
        <w:t>3.</w:t>
      </w:r>
      <w:r w:rsidR="003B78CE" w:rsidRPr="009700AE">
        <w:rPr>
          <w:rFonts w:ascii="Calibri" w:eastAsia="Times New Roman" w:hAnsi="Calibri" w:cs="Calibri"/>
          <w:sz w:val="20"/>
          <w:szCs w:val="20"/>
        </w:rPr>
        <w:t>4 Prior attainment</w:t>
      </w:r>
      <w:bookmarkEnd w:id="17"/>
    </w:p>
    <w:p w14:paraId="510A1C37" w14:textId="77777777" w:rsidR="009700AE" w:rsidRPr="009700AE" w:rsidRDefault="009700AE" w:rsidP="009700AE"/>
    <w:p w14:paraId="383B2330" w14:textId="431AAB40" w:rsidR="003323B1" w:rsidRPr="009700AE" w:rsidRDefault="00396D06" w:rsidP="00F05915">
      <w:pPr>
        <w:rPr>
          <w:sz w:val="20"/>
          <w:szCs w:val="20"/>
        </w:rPr>
      </w:pPr>
      <w:r w:rsidRPr="009700AE">
        <w:rPr>
          <w:sz w:val="20"/>
          <w:szCs w:val="20"/>
        </w:rPr>
        <w:t xml:space="preserve">Prior attainment in English and maths at GCSE has historically been a strong predictor of likelihood to take geography A-Level. In 2010, 12.8% of those with prior attainment equal to a grade A or above entered geography A-Level, and 12.2% of those with prior attainment of between </w:t>
      </w:r>
      <w:r w:rsidR="003323B1" w:rsidRPr="009700AE">
        <w:rPr>
          <w:sz w:val="20"/>
          <w:szCs w:val="20"/>
        </w:rPr>
        <w:t>a grade B and a grade A. Entry rates for those with prior attainment between grade B and grade C was some way lower, at 8.6%.</w:t>
      </w:r>
    </w:p>
    <w:p w14:paraId="71288898" w14:textId="5E590E61" w:rsidR="003323B1" w:rsidRPr="009700AE" w:rsidRDefault="003323B1" w:rsidP="00F05915">
      <w:pPr>
        <w:rPr>
          <w:sz w:val="20"/>
          <w:szCs w:val="20"/>
        </w:rPr>
      </w:pPr>
    </w:p>
    <w:p w14:paraId="19897569" w14:textId="7632E5A0" w:rsidR="003323B1" w:rsidRPr="009700AE" w:rsidRDefault="003323B1" w:rsidP="00F05915">
      <w:pPr>
        <w:rPr>
          <w:sz w:val="20"/>
          <w:szCs w:val="20"/>
        </w:rPr>
      </w:pPr>
      <w:r w:rsidRPr="009700AE">
        <w:rPr>
          <w:sz w:val="20"/>
          <w:szCs w:val="20"/>
        </w:rPr>
        <w:t>By 2018, entry rates for those with prior attainment in the A-B range were the highest, with entry rates for those with prior attainment of grade A or above and those with prior attainment of grade B-C converging. Much of this convergence took place in 2018 and – when looking at entries by establishment type (discussed further below) – it is likely that this is largely explained by a shift away from geography A-Level by the independent sector, where prior attainment rates tend to be highest.</w:t>
      </w:r>
    </w:p>
    <w:p w14:paraId="50AB723C" w14:textId="4C4DAEFC" w:rsidR="003323B1" w:rsidRPr="009700AE" w:rsidRDefault="003323B1" w:rsidP="00F05915">
      <w:pPr>
        <w:rPr>
          <w:sz w:val="20"/>
          <w:szCs w:val="20"/>
        </w:rPr>
      </w:pPr>
    </w:p>
    <w:p w14:paraId="5B3EDACE" w14:textId="129506D6" w:rsidR="003323B1" w:rsidRPr="009700AE" w:rsidRDefault="003323B1" w:rsidP="00F05915">
      <w:pPr>
        <w:rPr>
          <w:sz w:val="20"/>
          <w:szCs w:val="20"/>
        </w:rPr>
      </w:pPr>
      <w:r w:rsidRPr="009700AE">
        <w:rPr>
          <w:sz w:val="20"/>
          <w:szCs w:val="20"/>
        </w:rPr>
        <w:t>Entry for those with prior attainment of below grade C at GCSE remains low.</w:t>
      </w:r>
    </w:p>
    <w:p w14:paraId="46980CCB" w14:textId="3686CA02" w:rsidR="00396D06" w:rsidRPr="009700AE" w:rsidRDefault="00396D06" w:rsidP="00F05915">
      <w:pPr>
        <w:rPr>
          <w:sz w:val="20"/>
          <w:szCs w:val="20"/>
        </w:rPr>
      </w:pPr>
    </w:p>
    <w:p w14:paraId="40DB4ACB" w14:textId="10A96F9F" w:rsidR="002C182B" w:rsidRPr="009700AE" w:rsidRDefault="003323B1" w:rsidP="00F05915">
      <w:pPr>
        <w:rPr>
          <w:sz w:val="20"/>
          <w:szCs w:val="20"/>
        </w:rPr>
      </w:pPr>
      <w:r w:rsidRPr="009700AE">
        <w:rPr>
          <w:sz w:val="20"/>
          <w:szCs w:val="20"/>
        </w:rPr>
        <w:t>Attainment rates are strongly tied to prior attainment, and have been so over the whole period under consideration. It is noteworthy, however, that it is among those with the highest prior attainment – grade A or above – where there has been the greatest decline in geography A-Level attainment.</w:t>
      </w:r>
    </w:p>
    <w:p w14:paraId="11B32234" w14:textId="77777777" w:rsidR="002C182B" w:rsidRPr="009700AE" w:rsidRDefault="002C182B" w:rsidP="00F05915">
      <w:pPr>
        <w:rPr>
          <w:sz w:val="20"/>
          <w:szCs w:val="20"/>
        </w:rPr>
      </w:pPr>
    </w:p>
    <w:p w14:paraId="0F997053" w14:textId="767B3050" w:rsidR="009135D2" w:rsidRPr="009700AE" w:rsidRDefault="003323B1" w:rsidP="00F05915">
      <w:pPr>
        <w:rPr>
          <w:sz w:val="20"/>
          <w:szCs w:val="20"/>
        </w:rPr>
      </w:pPr>
      <w:r w:rsidRPr="009700AE">
        <w:rPr>
          <w:sz w:val="20"/>
          <w:szCs w:val="20"/>
        </w:rPr>
        <w:lastRenderedPageBreak/>
        <w:t>(</w:t>
      </w:r>
      <w:r w:rsidR="00F05915" w:rsidRPr="009700AE">
        <w:rPr>
          <w:sz w:val="20"/>
          <w:szCs w:val="20"/>
        </w:rPr>
        <w:t>A noticeable increase in the number of students with prior attainment</w:t>
      </w:r>
      <w:r w:rsidR="002C182B" w:rsidRPr="009700AE">
        <w:rPr>
          <w:sz w:val="20"/>
          <w:szCs w:val="20"/>
        </w:rPr>
        <w:t xml:space="preserve"> information</w:t>
      </w:r>
      <w:r w:rsidR="00F05915" w:rsidRPr="009700AE">
        <w:rPr>
          <w:sz w:val="20"/>
          <w:szCs w:val="20"/>
        </w:rPr>
        <w:t xml:space="preserve"> that is not available – with a </w:t>
      </w:r>
      <w:r w:rsidR="002C182B" w:rsidRPr="009700AE">
        <w:rPr>
          <w:sz w:val="20"/>
          <w:szCs w:val="20"/>
        </w:rPr>
        <w:t xml:space="preserve">related </w:t>
      </w:r>
      <w:r w:rsidR="00F05915" w:rsidRPr="009700AE">
        <w:rPr>
          <w:sz w:val="20"/>
          <w:szCs w:val="20"/>
        </w:rPr>
        <w:t xml:space="preserve">change in the </w:t>
      </w:r>
      <w:r w:rsidR="00441094" w:rsidRPr="009700AE">
        <w:rPr>
          <w:sz w:val="20"/>
          <w:szCs w:val="20"/>
        </w:rPr>
        <w:t xml:space="preserve">apparent </w:t>
      </w:r>
      <w:r w:rsidR="00F05915" w:rsidRPr="009700AE">
        <w:rPr>
          <w:sz w:val="20"/>
          <w:szCs w:val="20"/>
        </w:rPr>
        <w:t xml:space="preserve">entry </w:t>
      </w:r>
      <w:r w:rsidR="002C182B" w:rsidRPr="009700AE">
        <w:rPr>
          <w:sz w:val="20"/>
          <w:szCs w:val="20"/>
        </w:rPr>
        <w:t xml:space="preserve">rate and attainment of this group – will to a large extent have been explained by a technical change in data. </w:t>
      </w:r>
      <w:r w:rsidR="00396D06" w:rsidRPr="009700AE">
        <w:rPr>
          <w:sz w:val="20"/>
          <w:szCs w:val="20"/>
        </w:rPr>
        <w:t>A popular maths international GCSE ceased to count in school performance measures from 2016, and prior attainment has been calculated based on qualifications that counted in these measures. For the cohort taking A-Levels in 2018 – who would predominantly have taken Key Stage 4 exams in 2016 – a greater share do not therefore have prior attainment data.</w:t>
      </w:r>
      <w:r w:rsidRPr="009700AE">
        <w:rPr>
          <w:sz w:val="20"/>
          <w:szCs w:val="20"/>
        </w:rPr>
        <w:t>)</w:t>
      </w:r>
    </w:p>
    <w:p w14:paraId="48FA529F" w14:textId="77777777" w:rsidR="00393FE8" w:rsidRPr="009700AE" w:rsidRDefault="00393FE8">
      <w:pPr>
        <w:spacing w:after="160" w:line="259" w:lineRule="auto"/>
        <w:rPr>
          <w:rFonts w:eastAsiaTheme="majorEastAsia"/>
          <w:color w:val="AC005D" w:themeColor="accent1" w:themeShade="BF"/>
          <w:sz w:val="20"/>
          <w:szCs w:val="20"/>
        </w:rPr>
      </w:pPr>
    </w:p>
    <w:p w14:paraId="00050FA8" w14:textId="28E510FF" w:rsidR="003B78CE" w:rsidRPr="009700AE" w:rsidRDefault="003F0436" w:rsidP="003B78CE">
      <w:pPr>
        <w:pStyle w:val="Heading2"/>
        <w:contextualSpacing/>
        <w:rPr>
          <w:rFonts w:ascii="Calibri" w:hAnsi="Calibri" w:cs="Calibri"/>
          <w:sz w:val="20"/>
          <w:szCs w:val="20"/>
        </w:rPr>
      </w:pPr>
      <w:bookmarkStart w:id="18" w:name="_Toc20306754"/>
      <w:r w:rsidRPr="009700AE">
        <w:rPr>
          <w:rFonts w:ascii="Calibri" w:hAnsi="Calibri" w:cs="Calibri"/>
          <w:sz w:val="20"/>
          <w:szCs w:val="20"/>
        </w:rPr>
        <w:t>4.</w:t>
      </w:r>
      <w:r w:rsidR="003B78CE" w:rsidRPr="009700AE">
        <w:rPr>
          <w:rFonts w:ascii="Calibri" w:hAnsi="Calibri" w:cs="Calibri"/>
          <w:sz w:val="20"/>
          <w:szCs w:val="20"/>
        </w:rPr>
        <w:t xml:space="preserve"> </w:t>
      </w:r>
      <w:r w:rsidR="009135D2" w:rsidRPr="009700AE">
        <w:rPr>
          <w:rFonts w:ascii="Calibri" w:hAnsi="Calibri" w:cs="Calibri"/>
          <w:sz w:val="20"/>
          <w:szCs w:val="20"/>
        </w:rPr>
        <w:t>Establishment</w:t>
      </w:r>
      <w:r w:rsidR="003B78CE" w:rsidRPr="009700AE">
        <w:rPr>
          <w:rFonts w:ascii="Calibri" w:hAnsi="Calibri" w:cs="Calibri"/>
          <w:sz w:val="20"/>
          <w:szCs w:val="20"/>
        </w:rPr>
        <w:t xml:space="preserve"> characteristics</w:t>
      </w:r>
      <w:bookmarkEnd w:id="18"/>
    </w:p>
    <w:p w14:paraId="5D365501" w14:textId="114F6134" w:rsidR="003B78CE" w:rsidRDefault="003F0436" w:rsidP="003B78CE">
      <w:pPr>
        <w:pStyle w:val="Heading3"/>
        <w:contextualSpacing/>
        <w:rPr>
          <w:rFonts w:ascii="Calibri" w:eastAsia="Times New Roman" w:hAnsi="Calibri" w:cs="Calibri"/>
          <w:sz w:val="20"/>
          <w:szCs w:val="20"/>
        </w:rPr>
      </w:pPr>
      <w:bookmarkStart w:id="19" w:name="_Toc20306755"/>
      <w:r w:rsidRPr="009700AE">
        <w:rPr>
          <w:rFonts w:ascii="Calibri" w:eastAsia="Times New Roman" w:hAnsi="Calibri" w:cs="Calibri"/>
          <w:sz w:val="20"/>
          <w:szCs w:val="20"/>
        </w:rPr>
        <w:t>4.</w:t>
      </w:r>
      <w:r w:rsidR="003B78CE" w:rsidRPr="009700AE">
        <w:rPr>
          <w:rFonts w:ascii="Calibri" w:eastAsia="Times New Roman" w:hAnsi="Calibri" w:cs="Calibri"/>
          <w:sz w:val="20"/>
          <w:szCs w:val="20"/>
        </w:rPr>
        <w:t>1 Region</w:t>
      </w:r>
      <w:bookmarkEnd w:id="19"/>
    </w:p>
    <w:p w14:paraId="09D66582" w14:textId="77777777" w:rsidR="00E623DE" w:rsidRPr="00E623DE" w:rsidRDefault="00E623DE" w:rsidP="00E623DE"/>
    <w:p w14:paraId="2D5F2D57" w14:textId="1053F498" w:rsidR="00C15089" w:rsidRPr="009700AE" w:rsidRDefault="003323B1">
      <w:pPr>
        <w:spacing w:after="160" w:line="259" w:lineRule="auto"/>
        <w:rPr>
          <w:rFonts w:eastAsia="Times New Roman"/>
          <w:sz w:val="20"/>
          <w:szCs w:val="20"/>
        </w:rPr>
      </w:pPr>
      <w:r w:rsidRPr="009700AE">
        <w:rPr>
          <w:rFonts w:eastAsia="Times New Roman"/>
          <w:sz w:val="20"/>
          <w:szCs w:val="20"/>
        </w:rPr>
        <w:t>Geography A-Level entry rates vary quite considerably by region – with</w:t>
      </w:r>
      <w:r w:rsidR="00C15089" w:rsidRPr="009700AE">
        <w:rPr>
          <w:rFonts w:eastAsia="Times New Roman"/>
          <w:sz w:val="20"/>
          <w:szCs w:val="20"/>
        </w:rPr>
        <w:t xml:space="preserve"> London’s rate of 8.6% and the south west’s of 14.4% at the extremes in 2018 (the same regions were </w:t>
      </w:r>
      <w:r w:rsidR="00B465DF" w:rsidRPr="009700AE">
        <w:rPr>
          <w:rFonts w:eastAsia="Times New Roman"/>
          <w:sz w:val="20"/>
          <w:szCs w:val="20"/>
        </w:rPr>
        <w:t>also</w:t>
      </w:r>
      <w:r w:rsidR="00C15089" w:rsidRPr="009700AE">
        <w:rPr>
          <w:rFonts w:eastAsia="Times New Roman"/>
          <w:sz w:val="20"/>
          <w:szCs w:val="20"/>
        </w:rPr>
        <w:t xml:space="preserve"> the highest and lowest, with a similar gap between them, in 2010).</w:t>
      </w:r>
    </w:p>
    <w:p w14:paraId="44BE433A" w14:textId="06D27118" w:rsidR="009135D2" w:rsidRPr="009700AE" w:rsidRDefault="00C15089">
      <w:pPr>
        <w:spacing w:after="160" w:line="259" w:lineRule="auto"/>
        <w:rPr>
          <w:rFonts w:eastAsia="Times New Roman"/>
          <w:color w:val="72003E" w:themeColor="accent1" w:themeShade="7F"/>
          <w:sz w:val="20"/>
          <w:szCs w:val="20"/>
        </w:rPr>
      </w:pPr>
      <w:r w:rsidRPr="009700AE">
        <w:rPr>
          <w:rFonts w:eastAsia="Times New Roman"/>
          <w:sz w:val="20"/>
          <w:szCs w:val="20"/>
        </w:rPr>
        <w:t>There is less difference in attainment, particularly when looking at average point score, which takes account of students across the entire ability range. London has the highest average point score – of 37.5 in 2018, equal to a little below a grade B – and has done for every year in the period under consideration.</w:t>
      </w:r>
    </w:p>
    <w:p w14:paraId="49AA7945" w14:textId="5046BC9A" w:rsidR="003B78CE" w:rsidRDefault="003F0436" w:rsidP="003B78CE">
      <w:pPr>
        <w:pStyle w:val="Heading3"/>
        <w:contextualSpacing/>
        <w:rPr>
          <w:rFonts w:ascii="Calibri" w:eastAsia="Times New Roman" w:hAnsi="Calibri" w:cs="Calibri"/>
          <w:sz w:val="20"/>
          <w:szCs w:val="20"/>
        </w:rPr>
      </w:pPr>
      <w:bookmarkStart w:id="20" w:name="_Toc20306756"/>
      <w:r w:rsidRPr="009700AE">
        <w:rPr>
          <w:rFonts w:ascii="Calibri" w:eastAsia="Times New Roman" w:hAnsi="Calibri" w:cs="Calibri"/>
          <w:sz w:val="20"/>
          <w:szCs w:val="20"/>
        </w:rPr>
        <w:t>4.</w:t>
      </w:r>
      <w:r w:rsidR="003B78CE" w:rsidRPr="009700AE">
        <w:rPr>
          <w:rFonts w:ascii="Calibri" w:eastAsia="Times New Roman" w:hAnsi="Calibri" w:cs="Calibri"/>
          <w:sz w:val="20"/>
          <w:szCs w:val="20"/>
        </w:rPr>
        <w:t>2 Area type</w:t>
      </w:r>
      <w:r w:rsidR="00393FE8" w:rsidRPr="009700AE">
        <w:rPr>
          <w:rFonts w:ascii="Calibri" w:eastAsia="Times New Roman" w:hAnsi="Calibri" w:cs="Calibri"/>
          <w:sz w:val="20"/>
          <w:szCs w:val="20"/>
        </w:rPr>
        <w:t xml:space="preserve">, </w:t>
      </w:r>
      <w:r w:rsidR="003B78CE" w:rsidRPr="009700AE">
        <w:rPr>
          <w:rFonts w:ascii="Calibri" w:eastAsia="Times New Roman" w:hAnsi="Calibri" w:cs="Calibri"/>
          <w:sz w:val="20"/>
          <w:szCs w:val="20"/>
        </w:rPr>
        <w:t>Coastal</w:t>
      </w:r>
      <w:r w:rsidR="00393FE8" w:rsidRPr="009700AE">
        <w:rPr>
          <w:rFonts w:ascii="Calibri" w:eastAsia="Times New Roman" w:hAnsi="Calibri" w:cs="Calibri"/>
          <w:sz w:val="20"/>
          <w:szCs w:val="20"/>
        </w:rPr>
        <w:t xml:space="preserve">, </w:t>
      </w:r>
      <w:r w:rsidR="003B78CE" w:rsidRPr="009700AE">
        <w:rPr>
          <w:rFonts w:ascii="Calibri" w:eastAsia="Times New Roman" w:hAnsi="Calibri" w:cs="Calibri"/>
          <w:sz w:val="20"/>
          <w:szCs w:val="20"/>
        </w:rPr>
        <w:t>Opportunity area</w:t>
      </w:r>
      <w:bookmarkEnd w:id="20"/>
    </w:p>
    <w:p w14:paraId="0E09517A" w14:textId="77777777" w:rsidR="001967D4" w:rsidRPr="001967D4" w:rsidRDefault="001967D4" w:rsidP="001967D4"/>
    <w:p w14:paraId="2D502BDD" w14:textId="751B323D" w:rsidR="00C15089" w:rsidRPr="009700AE" w:rsidRDefault="00C15089">
      <w:pPr>
        <w:spacing w:after="160" w:line="259" w:lineRule="auto"/>
        <w:rPr>
          <w:rFonts w:eastAsia="Times New Roman"/>
          <w:sz w:val="20"/>
          <w:szCs w:val="20"/>
        </w:rPr>
      </w:pPr>
      <w:r w:rsidRPr="009700AE">
        <w:rPr>
          <w:rFonts w:eastAsia="Times New Roman"/>
          <w:sz w:val="20"/>
          <w:szCs w:val="20"/>
        </w:rPr>
        <w:t>While there are reasonably sizeable differences in entry rates into geography A-Level when considered by area type (urban/rural classification), only very small differences exist when considering average point scores of each of these area types. This suggests that students of similar ability are accessing geography A-Level in all types of area.</w:t>
      </w:r>
    </w:p>
    <w:p w14:paraId="21082B4D" w14:textId="7F613703" w:rsidR="00C15089" w:rsidRPr="009700AE" w:rsidRDefault="00C15089">
      <w:pPr>
        <w:spacing w:after="160" w:line="259" w:lineRule="auto"/>
        <w:rPr>
          <w:rFonts w:eastAsia="Times New Roman"/>
          <w:sz w:val="20"/>
          <w:szCs w:val="20"/>
        </w:rPr>
      </w:pPr>
      <w:r w:rsidRPr="009700AE">
        <w:rPr>
          <w:rFonts w:eastAsia="Times New Roman"/>
          <w:sz w:val="20"/>
          <w:szCs w:val="20"/>
        </w:rPr>
        <w:t>There is an attainment gap between coastal areas (defined as those within 5.5km of the coast) and non-coastal areas. In terms of average point scores this stood at 1.4 points in 2018 – fairly small</w:t>
      </w:r>
      <w:r w:rsidR="00B465DF" w:rsidRPr="009700AE">
        <w:rPr>
          <w:rFonts w:eastAsia="Times New Roman"/>
          <w:sz w:val="20"/>
          <w:szCs w:val="20"/>
        </w:rPr>
        <w:t>,</w:t>
      </w:r>
      <w:r w:rsidRPr="009700AE">
        <w:rPr>
          <w:rFonts w:eastAsia="Times New Roman"/>
          <w:sz w:val="20"/>
          <w:szCs w:val="20"/>
        </w:rPr>
        <w:t xml:space="preserve"> at a little more than a tenth of a grade, and the smallest over the period considered.</w:t>
      </w:r>
    </w:p>
    <w:p w14:paraId="4B9CB8BE" w14:textId="47865EB5" w:rsidR="009135D2" w:rsidRPr="009700AE" w:rsidRDefault="00C15089">
      <w:pPr>
        <w:spacing w:after="160" w:line="259" w:lineRule="auto"/>
        <w:rPr>
          <w:rFonts w:eastAsia="Times New Roman"/>
          <w:color w:val="72003E" w:themeColor="accent1" w:themeShade="7F"/>
          <w:sz w:val="20"/>
          <w:szCs w:val="20"/>
        </w:rPr>
      </w:pPr>
      <w:r w:rsidRPr="009700AE">
        <w:rPr>
          <w:rFonts w:eastAsia="Times New Roman"/>
          <w:sz w:val="20"/>
          <w:szCs w:val="20"/>
        </w:rPr>
        <w:t>Similarly, students in opportunity areas – areas identified by the Department for Education as having particularly poor social mobility – have attainment that is a little below that of students in other parts of the country.</w:t>
      </w:r>
    </w:p>
    <w:p w14:paraId="43B39C9B" w14:textId="68DA82C9" w:rsidR="003B78CE" w:rsidRDefault="003F0436" w:rsidP="003B78CE">
      <w:pPr>
        <w:pStyle w:val="Heading3"/>
        <w:contextualSpacing/>
        <w:rPr>
          <w:rFonts w:ascii="Calibri" w:eastAsia="Times New Roman" w:hAnsi="Calibri" w:cs="Calibri"/>
          <w:sz w:val="20"/>
          <w:szCs w:val="20"/>
        </w:rPr>
      </w:pPr>
      <w:bookmarkStart w:id="21" w:name="_Toc20306757"/>
      <w:r w:rsidRPr="009700AE">
        <w:rPr>
          <w:rFonts w:ascii="Calibri" w:eastAsia="Times New Roman" w:hAnsi="Calibri" w:cs="Calibri"/>
          <w:sz w:val="20"/>
          <w:szCs w:val="20"/>
        </w:rPr>
        <w:t>4.</w:t>
      </w:r>
      <w:r w:rsidR="009135D2" w:rsidRPr="009700AE">
        <w:rPr>
          <w:rFonts w:ascii="Calibri" w:eastAsia="Times New Roman" w:hAnsi="Calibri" w:cs="Calibri"/>
          <w:sz w:val="20"/>
          <w:szCs w:val="20"/>
        </w:rPr>
        <w:t>3</w:t>
      </w:r>
      <w:r w:rsidR="003B78CE" w:rsidRPr="009700AE">
        <w:rPr>
          <w:rFonts w:ascii="Calibri" w:eastAsia="Times New Roman" w:hAnsi="Calibri" w:cs="Calibri"/>
          <w:sz w:val="20"/>
          <w:szCs w:val="20"/>
        </w:rPr>
        <w:t xml:space="preserve"> </w:t>
      </w:r>
      <w:r w:rsidR="009135D2" w:rsidRPr="009700AE">
        <w:rPr>
          <w:rFonts w:ascii="Calibri" w:eastAsia="Times New Roman" w:hAnsi="Calibri" w:cs="Calibri"/>
          <w:sz w:val="20"/>
          <w:szCs w:val="20"/>
        </w:rPr>
        <w:t>Establishment type</w:t>
      </w:r>
      <w:r w:rsidR="00F041FC" w:rsidRPr="009700AE">
        <w:rPr>
          <w:rFonts w:ascii="Calibri" w:eastAsia="Times New Roman" w:hAnsi="Calibri" w:cs="Calibri"/>
          <w:sz w:val="20"/>
          <w:szCs w:val="20"/>
        </w:rPr>
        <w:t xml:space="preserve">, </w:t>
      </w:r>
      <w:r w:rsidR="003B78CE" w:rsidRPr="009700AE">
        <w:rPr>
          <w:rFonts w:ascii="Calibri" w:eastAsia="Times New Roman" w:hAnsi="Calibri" w:cs="Calibri"/>
          <w:sz w:val="20"/>
          <w:szCs w:val="20"/>
        </w:rPr>
        <w:t>Governance</w:t>
      </w:r>
      <w:bookmarkEnd w:id="21"/>
    </w:p>
    <w:p w14:paraId="16877995" w14:textId="77777777" w:rsidR="001967D4" w:rsidRPr="001967D4" w:rsidRDefault="001967D4" w:rsidP="001967D4"/>
    <w:p w14:paraId="787C9610" w14:textId="6403704A" w:rsidR="001F03AF" w:rsidRPr="009700AE" w:rsidRDefault="001F03AF">
      <w:pPr>
        <w:spacing w:after="160" w:line="259" w:lineRule="auto"/>
        <w:rPr>
          <w:rFonts w:eastAsia="Times New Roman"/>
          <w:sz w:val="20"/>
          <w:szCs w:val="20"/>
        </w:rPr>
      </w:pPr>
      <w:r w:rsidRPr="009700AE">
        <w:rPr>
          <w:rFonts w:eastAsia="Times New Roman"/>
          <w:sz w:val="20"/>
          <w:szCs w:val="20"/>
        </w:rPr>
        <w:t xml:space="preserve">Entry rates differ quite notably by establishment type, with independent schools having particularly </w:t>
      </w:r>
      <w:r w:rsidR="00B465DF" w:rsidRPr="009700AE">
        <w:rPr>
          <w:rFonts w:eastAsia="Times New Roman"/>
          <w:sz w:val="20"/>
          <w:szCs w:val="20"/>
        </w:rPr>
        <w:t xml:space="preserve">high </w:t>
      </w:r>
      <w:r w:rsidRPr="009700AE">
        <w:rPr>
          <w:rFonts w:eastAsia="Times New Roman"/>
          <w:sz w:val="20"/>
          <w:szCs w:val="20"/>
        </w:rPr>
        <w:t xml:space="preserve">rates, at above 15% of all A-Level students in all years except 2018. Students in school sixth forms have also had high entry rates over the period under consideration, with a large gap persisting between this group of establishments and sixth form colleges and further education colleges. </w:t>
      </w:r>
    </w:p>
    <w:p w14:paraId="4ADAEB8C" w14:textId="22AFC207" w:rsidR="001F03AF" w:rsidRPr="009700AE" w:rsidRDefault="001F03AF">
      <w:pPr>
        <w:spacing w:after="160" w:line="259" w:lineRule="auto"/>
        <w:rPr>
          <w:rFonts w:eastAsia="Times New Roman"/>
          <w:sz w:val="20"/>
          <w:szCs w:val="20"/>
        </w:rPr>
      </w:pPr>
      <w:r w:rsidRPr="009700AE">
        <w:rPr>
          <w:rFonts w:eastAsia="Times New Roman"/>
          <w:sz w:val="20"/>
          <w:szCs w:val="20"/>
        </w:rPr>
        <w:t>In 2018 there was a large drop in entry rates from independent schools and colleges – from 16.5% of A-Level entrants to 12% – which we suspect was the result of a transfer to a non-A-Level qualification. Given the high attainment of those attending independent schools this shift away from A-Level geography by the independent sector is likely a large contributory factor to the dip in attainment seen overall in geography A-Level in 2018.</w:t>
      </w:r>
    </w:p>
    <w:p w14:paraId="422DB3EF" w14:textId="77777777" w:rsidR="0063072D" w:rsidRPr="009700AE" w:rsidRDefault="001F03AF">
      <w:pPr>
        <w:spacing w:after="160" w:line="259" w:lineRule="auto"/>
        <w:rPr>
          <w:rFonts w:eastAsia="Times New Roman"/>
          <w:sz w:val="20"/>
          <w:szCs w:val="20"/>
        </w:rPr>
      </w:pPr>
      <w:r w:rsidRPr="009700AE">
        <w:rPr>
          <w:rFonts w:eastAsia="Times New Roman"/>
          <w:sz w:val="20"/>
          <w:szCs w:val="20"/>
        </w:rPr>
        <w:t>Students in the independent sector have attainment that is markedly above that for students in other establishments. There is relatively little difference in attainment between students at school sixth forms and sixth form colleges</w:t>
      </w:r>
      <w:r w:rsidR="0063072D" w:rsidRPr="009700AE">
        <w:rPr>
          <w:rFonts w:eastAsia="Times New Roman"/>
          <w:sz w:val="20"/>
          <w:szCs w:val="20"/>
        </w:rPr>
        <w:t>, though a larger gap between these two types of establishment and further education colleges – reflecting different levels of prior attainment for the students attending these different types of establishment.</w:t>
      </w:r>
    </w:p>
    <w:p w14:paraId="66904562" w14:textId="2BA69321" w:rsidR="009135D2" w:rsidRPr="009700AE" w:rsidRDefault="0063072D">
      <w:pPr>
        <w:spacing w:after="160" w:line="259" w:lineRule="auto"/>
        <w:rPr>
          <w:rFonts w:eastAsia="Times New Roman"/>
          <w:sz w:val="20"/>
          <w:szCs w:val="20"/>
        </w:rPr>
      </w:pPr>
      <w:r w:rsidRPr="009700AE">
        <w:rPr>
          <w:rFonts w:eastAsia="Times New Roman"/>
          <w:sz w:val="20"/>
          <w:szCs w:val="20"/>
        </w:rPr>
        <w:t xml:space="preserve">When looking at </w:t>
      </w:r>
      <w:r w:rsidR="002319B3" w:rsidRPr="009700AE">
        <w:rPr>
          <w:rFonts w:eastAsia="Times New Roman"/>
          <w:sz w:val="20"/>
          <w:szCs w:val="20"/>
        </w:rPr>
        <w:t xml:space="preserve">A-Level students’ </w:t>
      </w:r>
      <w:r w:rsidRPr="009700AE">
        <w:rPr>
          <w:rFonts w:eastAsia="Times New Roman"/>
          <w:sz w:val="20"/>
          <w:szCs w:val="20"/>
        </w:rPr>
        <w:t xml:space="preserve">entry rates by governance types, there are relatively few </w:t>
      </w:r>
      <w:r w:rsidR="00B465DF" w:rsidRPr="009700AE">
        <w:rPr>
          <w:rFonts w:eastAsia="Times New Roman"/>
          <w:sz w:val="20"/>
          <w:szCs w:val="20"/>
        </w:rPr>
        <w:t xml:space="preserve">entries </w:t>
      </w:r>
      <w:r w:rsidR="002319B3" w:rsidRPr="009700AE">
        <w:rPr>
          <w:rFonts w:eastAsia="Times New Roman"/>
          <w:sz w:val="20"/>
          <w:szCs w:val="20"/>
        </w:rPr>
        <w:t xml:space="preserve">from students in sponsored academies </w:t>
      </w:r>
      <w:r w:rsidR="00B465DF" w:rsidRPr="009700AE">
        <w:rPr>
          <w:rFonts w:eastAsia="Times New Roman"/>
          <w:sz w:val="20"/>
          <w:szCs w:val="20"/>
        </w:rPr>
        <w:t xml:space="preserve">that offer </w:t>
      </w:r>
      <w:r w:rsidR="002319B3" w:rsidRPr="009700AE">
        <w:rPr>
          <w:rFonts w:eastAsia="Times New Roman"/>
          <w:sz w:val="20"/>
          <w:szCs w:val="20"/>
        </w:rPr>
        <w:t>post-16 provision</w:t>
      </w:r>
      <w:r w:rsidR="00B465DF" w:rsidRPr="009700AE">
        <w:rPr>
          <w:rFonts w:eastAsia="Times New Roman"/>
          <w:sz w:val="20"/>
          <w:szCs w:val="20"/>
        </w:rPr>
        <w:t>,</w:t>
      </w:r>
      <w:r w:rsidR="002319B3" w:rsidRPr="009700AE">
        <w:rPr>
          <w:rFonts w:eastAsia="Times New Roman"/>
          <w:sz w:val="20"/>
          <w:szCs w:val="20"/>
        </w:rPr>
        <w:t xml:space="preserve"> </w:t>
      </w:r>
      <w:r w:rsidRPr="009700AE">
        <w:rPr>
          <w:rFonts w:eastAsia="Times New Roman"/>
          <w:sz w:val="20"/>
          <w:szCs w:val="20"/>
        </w:rPr>
        <w:t xml:space="preserve">as </w:t>
      </w:r>
      <w:r w:rsidR="00B465DF" w:rsidRPr="009700AE">
        <w:rPr>
          <w:rFonts w:eastAsia="Times New Roman"/>
          <w:sz w:val="20"/>
          <w:szCs w:val="20"/>
        </w:rPr>
        <w:t xml:space="preserve">was also the case with </w:t>
      </w:r>
      <w:r w:rsidRPr="009700AE">
        <w:rPr>
          <w:rFonts w:eastAsia="Times New Roman"/>
          <w:sz w:val="20"/>
          <w:szCs w:val="20"/>
        </w:rPr>
        <w:t xml:space="preserve">sixth form colleges and </w:t>
      </w:r>
      <w:r w:rsidR="002319B3" w:rsidRPr="009700AE">
        <w:rPr>
          <w:rFonts w:eastAsia="Times New Roman"/>
          <w:sz w:val="20"/>
          <w:szCs w:val="20"/>
        </w:rPr>
        <w:t xml:space="preserve">further education colleges. </w:t>
      </w:r>
      <w:r w:rsidR="00B465DF" w:rsidRPr="009700AE">
        <w:rPr>
          <w:rFonts w:eastAsia="Times New Roman"/>
          <w:sz w:val="20"/>
          <w:szCs w:val="20"/>
        </w:rPr>
        <w:t xml:space="preserve">In the case of sponsored academies, this may be explained by these generally replacing establishments that </w:t>
      </w:r>
      <w:r w:rsidR="002319B3" w:rsidRPr="009700AE">
        <w:rPr>
          <w:rFonts w:eastAsia="Times New Roman"/>
          <w:sz w:val="20"/>
          <w:szCs w:val="20"/>
        </w:rPr>
        <w:t>had poor exam results, which may be resulting in different subject choice post-</w:t>
      </w:r>
      <w:r w:rsidR="002319B3" w:rsidRPr="009700AE">
        <w:rPr>
          <w:rFonts w:eastAsia="Times New Roman"/>
          <w:sz w:val="20"/>
          <w:szCs w:val="20"/>
        </w:rPr>
        <w:lastRenderedPageBreak/>
        <w:t>16. Attainment rates also differ by governance, in ways that to a large extent are likely to be explained by different levels of prior attainment at different types of establishment.</w:t>
      </w:r>
    </w:p>
    <w:p w14:paraId="5C8BBA4D" w14:textId="4B7891C1" w:rsidR="003B78CE" w:rsidRDefault="003F0436" w:rsidP="003B78CE">
      <w:pPr>
        <w:pStyle w:val="Heading3"/>
        <w:contextualSpacing/>
        <w:rPr>
          <w:rFonts w:ascii="Calibri" w:eastAsia="Times New Roman" w:hAnsi="Calibri" w:cs="Calibri"/>
          <w:sz w:val="20"/>
          <w:szCs w:val="20"/>
        </w:rPr>
      </w:pPr>
      <w:bookmarkStart w:id="22" w:name="_Toc20306758"/>
      <w:r w:rsidRPr="009700AE">
        <w:rPr>
          <w:rFonts w:ascii="Calibri" w:eastAsia="Times New Roman" w:hAnsi="Calibri" w:cs="Calibri"/>
          <w:sz w:val="20"/>
          <w:szCs w:val="20"/>
        </w:rPr>
        <w:t>4.</w:t>
      </w:r>
      <w:r w:rsidR="009135D2" w:rsidRPr="009700AE">
        <w:rPr>
          <w:rFonts w:ascii="Calibri" w:eastAsia="Times New Roman" w:hAnsi="Calibri" w:cs="Calibri"/>
          <w:sz w:val="20"/>
          <w:szCs w:val="20"/>
        </w:rPr>
        <w:t>4</w:t>
      </w:r>
      <w:r w:rsidR="003B78CE" w:rsidRPr="009700AE">
        <w:rPr>
          <w:rFonts w:ascii="Calibri" w:eastAsia="Times New Roman" w:hAnsi="Calibri" w:cs="Calibri"/>
          <w:sz w:val="20"/>
          <w:szCs w:val="20"/>
        </w:rPr>
        <w:t xml:space="preserve"> Inspection rating</w:t>
      </w:r>
      <w:bookmarkEnd w:id="22"/>
    </w:p>
    <w:p w14:paraId="66500ECF" w14:textId="77777777" w:rsidR="001967D4" w:rsidRPr="001967D4" w:rsidRDefault="001967D4" w:rsidP="001967D4"/>
    <w:p w14:paraId="7C309780" w14:textId="4691A29B" w:rsidR="003B78CE" w:rsidRPr="009700AE" w:rsidRDefault="00E66653" w:rsidP="003B78CE">
      <w:pPr>
        <w:rPr>
          <w:sz w:val="20"/>
          <w:szCs w:val="20"/>
        </w:rPr>
      </w:pPr>
      <w:r w:rsidRPr="009700AE">
        <w:rPr>
          <w:sz w:val="20"/>
          <w:szCs w:val="20"/>
        </w:rPr>
        <w:t>Ofsted</w:t>
      </w:r>
      <w:r w:rsidR="002319B3" w:rsidRPr="009700AE">
        <w:rPr>
          <w:sz w:val="20"/>
          <w:szCs w:val="20"/>
        </w:rPr>
        <w:t xml:space="preserve"> ratings – only available for state establishments – are fairly strongly tied to both entry rates and attainment, with </w:t>
      </w:r>
      <w:r w:rsidR="002319B3" w:rsidRPr="009700AE">
        <w:rPr>
          <w:i/>
          <w:sz w:val="20"/>
          <w:szCs w:val="20"/>
        </w:rPr>
        <w:t xml:space="preserve">outstanding </w:t>
      </w:r>
      <w:r w:rsidR="002319B3" w:rsidRPr="009700AE">
        <w:rPr>
          <w:sz w:val="20"/>
          <w:szCs w:val="20"/>
        </w:rPr>
        <w:t xml:space="preserve">establishments having the highest entry rates. Perhaps most notably when analysing attainment by inspection rating, those establishments judged to be </w:t>
      </w:r>
      <w:r w:rsidR="002319B3" w:rsidRPr="009700AE">
        <w:rPr>
          <w:i/>
          <w:sz w:val="20"/>
          <w:szCs w:val="20"/>
        </w:rPr>
        <w:t xml:space="preserve">good </w:t>
      </w:r>
      <w:r w:rsidR="002319B3" w:rsidRPr="009700AE">
        <w:rPr>
          <w:sz w:val="20"/>
          <w:szCs w:val="20"/>
        </w:rPr>
        <w:t xml:space="preserve">have attainment broadly on a par with those judged to be </w:t>
      </w:r>
      <w:r w:rsidR="002319B3" w:rsidRPr="009700AE">
        <w:rPr>
          <w:i/>
          <w:sz w:val="20"/>
          <w:szCs w:val="20"/>
        </w:rPr>
        <w:t>outstanding</w:t>
      </w:r>
      <w:r w:rsidR="002319B3" w:rsidRPr="009700AE">
        <w:rPr>
          <w:sz w:val="20"/>
          <w:szCs w:val="20"/>
        </w:rPr>
        <w:t>.</w:t>
      </w:r>
    </w:p>
    <w:p w14:paraId="54976C9D" w14:textId="77777777" w:rsidR="003B78CE" w:rsidRPr="009700AE" w:rsidRDefault="003B78CE" w:rsidP="003B78CE">
      <w:pPr>
        <w:rPr>
          <w:sz w:val="20"/>
          <w:szCs w:val="20"/>
        </w:rPr>
      </w:pPr>
    </w:p>
    <w:sectPr w:rsidR="003B78CE" w:rsidRPr="009700AE" w:rsidSect="003A144A">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A2A9" w14:textId="77777777" w:rsidR="00553C1F" w:rsidRDefault="00553C1F" w:rsidP="000F4E7E">
      <w:r>
        <w:separator/>
      </w:r>
    </w:p>
  </w:endnote>
  <w:endnote w:type="continuationSeparator" w:id="0">
    <w:p w14:paraId="3D3AC322" w14:textId="77777777" w:rsidR="00553C1F" w:rsidRDefault="00553C1F" w:rsidP="000F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3685" w14:textId="1303F77A" w:rsidR="00C15089" w:rsidRDefault="00C15089">
    <w:pPr>
      <w:pStyle w:val="Footer"/>
      <w:jc w:val="center"/>
    </w:pPr>
  </w:p>
  <w:p w14:paraId="01EDF151" w14:textId="0FE16622" w:rsidR="00C15089" w:rsidRDefault="00C15089" w:rsidP="00CC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880768"/>
      <w:docPartObj>
        <w:docPartGallery w:val="Page Numbers (Bottom of Page)"/>
        <w:docPartUnique/>
      </w:docPartObj>
    </w:sdtPr>
    <w:sdtEndPr>
      <w:rPr>
        <w:noProof/>
      </w:rPr>
    </w:sdtEndPr>
    <w:sdtContent>
      <w:p w14:paraId="26F8875B" w14:textId="5430BE6C" w:rsidR="00C15089" w:rsidRDefault="00C15089">
        <w:pPr>
          <w:pStyle w:val="Footer"/>
          <w:jc w:val="center"/>
        </w:pPr>
        <w:r>
          <w:fldChar w:fldCharType="begin"/>
        </w:r>
        <w:r>
          <w:instrText xml:space="preserve"> PAGE   \* MERGEFORMAT </w:instrText>
        </w:r>
        <w:r>
          <w:fldChar w:fldCharType="separate"/>
        </w:r>
        <w:r w:rsidR="001967D4">
          <w:rPr>
            <w:noProof/>
          </w:rPr>
          <w:t>6</w:t>
        </w:r>
        <w:r>
          <w:rPr>
            <w:noProof/>
          </w:rPr>
          <w:fldChar w:fldCharType="end"/>
        </w:r>
      </w:p>
    </w:sdtContent>
  </w:sdt>
  <w:p w14:paraId="12612B48" w14:textId="4C2AF4A7" w:rsidR="00C15089" w:rsidRDefault="00C15089" w:rsidP="006D15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1B338" w14:textId="77777777" w:rsidR="00553C1F" w:rsidRDefault="00553C1F" w:rsidP="000F4E7E">
      <w:r>
        <w:separator/>
      </w:r>
    </w:p>
  </w:footnote>
  <w:footnote w:type="continuationSeparator" w:id="0">
    <w:p w14:paraId="09F67AA0" w14:textId="77777777" w:rsidR="00553C1F" w:rsidRDefault="00553C1F" w:rsidP="000F4E7E">
      <w:r>
        <w:continuationSeparator/>
      </w:r>
    </w:p>
  </w:footnote>
  <w:footnote w:id="1">
    <w:p w14:paraId="77B09C20" w14:textId="77777777" w:rsidR="00C15089" w:rsidRDefault="00C15089" w:rsidP="00DC3DA9">
      <w:pPr>
        <w:pStyle w:val="FootnoteText"/>
      </w:pPr>
      <w:r>
        <w:rPr>
          <w:rStyle w:val="FootnoteReference"/>
        </w:rPr>
        <w:footnoteRef/>
      </w:r>
      <w:r>
        <w:t xml:space="preserve"> </w:t>
      </w:r>
      <w:r w:rsidRPr="009700AE">
        <w:rPr>
          <w:sz w:val="18"/>
          <w:szCs w:val="18"/>
        </w:rPr>
        <w:t>Throughout this report, years refer to year in which the academic year finished – that is, 2010 refers to 2009/10, for example.</w:t>
      </w:r>
    </w:p>
  </w:footnote>
  <w:footnote w:id="2">
    <w:p w14:paraId="43A6199C" w14:textId="26078718" w:rsidR="00C15089" w:rsidRPr="009700AE" w:rsidRDefault="00C15089" w:rsidP="00214723">
      <w:pPr>
        <w:pStyle w:val="FootnoteText"/>
        <w:rPr>
          <w:sz w:val="18"/>
          <w:szCs w:val="18"/>
        </w:rPr>
      </w:pPr>
      <w:r w:rsidRPr="009700AE">
        <w:rPr>
          <w:rStyle w:val="FootnoteReference"/>
          <w:sz w:val="18"/>
          <w:szCs w:val="18"/>
        </w:rPr>
        <w:footnoteRef/>
      </w:r>
      <w:r w:rsidRPr="009700AE">
        <w:rPr>
          <w:sz w:val="18"/>
          <w:szCs w:val="18"/>
        </w:rPr>
        <w:t xml:space="preserve"> Free school meals are not available post-16, therefore disadvantage can only be considered based on data up to age 16. See the methodology document</w:t>
      </w:r>
      <w:r w:rsidR="00E623DE">
        <w:rPr>
          <w:sz w:val="18"/>
          <w:szCs w:val="18"/>
        </w:rPr>
        <w:t xml:space="preserve"> (A1)</w:t>
      </w:r>
      <w:r w:rsidRPr="009700AE">
        <w:rPr>
          <w:sz w:val="18"/>
          <w:szCs w:val="18"/>
        </w:rPr>
        <w:t xml:space="preserve"> for further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5A3"/>
    <w:multiLevelType w:val="hybridMultilevel"/>
    <w:tmpl w:val="6AF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21337"/>
    <w:multiLevelType w:val="multilevel"/>
    <w:tmpl w:val="A56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0CFD"/>
    <w:multiLevelType w:val="hybridMultilevel"/>
    <w:tmpl w:val="D02A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775"/>
    <w:multiLevelType w:val="hybridMultilevel"/>
    <w:tmpl w:val="637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D45"/>
    <w:multiLevelType w:val="hybridMultilevel"/>
    <w:tmpl w:val="48C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91"/>
    <w:multiLevelType w:val="hybridMultilevel"/>
    <w:tmpl w:val="BDDC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F412B"/>
    <w:multiLevelType w:val="hybridMultilevel"/>
    <w:tmpl w:val="C05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326"/>
    <w:multiLevelType w:val="hybridMultilevel"/>
    <w:tmpl w:val="7398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D0E36"/>
    <w:multiLevelType w:val="hybridMultilevel"/>
    <w:tmpl w:val="78F02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47741"/>
    <w:multiLevelType w:val="hybridMultilevel"/>
    <w:tmpl w:val="9B3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55D9"/>
    <w:multiLevelType w:val="hybridMultilevel"/>
    <w:tmpl w:val="78E20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642BD"/>
    <w:multiLevelType w:val="hybridMultilevel"/>
    <w:tmpl w:val="18B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2692"/>
    <w:multiLevelType w:val="hybridMultilevel"/>
    <w:tmpl w:val="E8A0C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23FA6"/>
    <w:multiLevelType w:val="hybridMultilevel"/>
    <w:tmpl w:val="2D1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42D1"/>
    <w:multiLevelType w:val="hybridMultilevel"/>
    <w:tmpl w:val="0E6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E12E4"/>
    <w:multiLevelType w:val="hybridMultilevel"/>
    <w:tmpl w:val="EB14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87DF3"/>
    <w:multiLevelType w:val="hybridMultilevel"/>
    <w:tmpl w:val="6D7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C2981"/>
    <w:multiLevelType w:val="hybridMultilevel"/>
    <w:tmpl w:val="EB4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6074B"/>
    <w:multiLevelType w:val="hybridMultilevel"/>
    <w:tmpl w:val="32A40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E0B70"/>
    <w:multiLevelType w:val="hybridMultilevel"/>
    <w:tmpl w:val="174A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E2CA6"/>
    <w:multiLevelType w:val="hybridMultilevel"/>
    <w:tmpl w:val="2B9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424BD"/>
    <w:multiLevelType w:val="hybridMultilevel"/>
    <w:tmpl w:val="CE60F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72F4B"/>
    <w:multiLevelType w:val="hybridMultilevel"/>
    <w:tmpl w:val="168A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
  </w:num>
  <w:num w:numId="4">
    <w:abstractNumId w:val="10"/>
  </w:num>
  <w:num w:numId="5">
    <w:abstractNumId w:val="20"/>
  </w:num>
  <w:num w:numId="6">
    <w:abstractNumId w:val="19"/>
  </w:num>
  <w:num w:numId="7">
    <w:abstractNumId w:val="7"/>
  </w:num>
  <w:num w:numId="8">
    <w:abstractNumId w:val="18"/>
  </w:num>
  <w:num w:numId="9">
    <w:abstractNumId w:val="17"/>
  </w:num>
  <w:num w:numId="10">
    <w:abstractNumId w:val="9"/>
  </w:num>
  <w:num w:numId="11">
    <w:abstractNumId w:val="8"/>
  </w:num>
  <w:num w:numId="12">
    <w:abstractNumId w:val="14"/>
  </w:num>
  <w:num w:numId="13">
    <w:abstractNumId w:val="0"/>
  </w:num>
  <w:num w:numId="14">
    <w:abstractNumId w:val="6"/>
  </w:num>
  <w:num w:numId="15">
    <w:abstractNumId w:val="22"/>
  </w:num>
  <w:num w:numId="16">
    <w:abstractNumId w:val="12"/>
  </w:num>
  <w:num w:numId="17">
    <w:abstractNumId w:val="2"/>
  </w:num>
  <w:num w:numId="18">
    <w:abstractNumId w:val="5"/>
  </w:num>
  <w:num w:numId="19">
    <w:abstractNumId w:val="4"/>
  </w:num>
  <w:num w:numId="20">
    <w:abstractNumId w:val="11"/>
  </w:num>
  <w:num w:numId="21">
    <w:abstractNumId w:val="16"/>
  </w:num>
  <w:num w:numId="22">
    <w:abstractNumId w:val="1"/>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13"/>
    <w:rsid w:val="00000C5E"/>
    <w:rsid w:val="00012858"/>
    <w:rsid w:val="00013D8B"/>
    <w:rsid w:val="000148F3"/>
    <w:rsid w:val="00072460"/>
    <w:rsid w:val="00075BFB"/>
    <w:rsid w:val="00083A3B"/>
    <w:rsid w:val="0009234F"/>
    <w:rsid w:val="000A13D9"/>
    <w:rsid w:val="000A1712"/>
    <w:rsid w:val="000A4D2D"/>
    <w:rsid w:val="000B14CB"/>
    <w:rsid w:val="000B4279"/>
    <w:rsid w:val="000B69BD"/>
    <w:rsid w:val="000B6E49"/>
    <w:rsid w:val="000D2107"/>
    <w:rsid w:val="000F4E7E"/>
    <w:rsid w:val="0012135E"/>
    <w:rsid w:val="00151F07"/>
    <w:rsid w:val="00167ADC"/>
    <w:rsid w:val="00170639"/>
    <w:rsid w:val="00187127"/>
    <w:rsid w:val="001967D4"/>
    <w:rsid w:val="001A160D"/>
    <w:rsid w:val="001A569D"/>
    <w:rsid w:val="001A6913"/>
    <w:rsid w:val="001B5FF3"/>
    <w:rsid w:val="001D61D8"/>
    <w:rsid w:val="001F03AF"/>
    <w:rsid w:val="001F6950"/>
    <w:rsid w:val="00201A9C"/>
    <w:rsid w:val="0020389E"/>
    <w:rsid w:val="00214723"/>
    <w:rsid w:val="00215B77"/>
    <w:rsid w:val="00216499"/>
    <w:rsid w:val="002236E5"/>
    <w:rsid w:val="002238D8"/>
    <w:rsid w:val="00225A57"/>
    <w:rsid w:val="002319B3"/>
    <w:rsid w:val="00265F50"/>
    <w:rsid w:val="002A5FCC"/>
    <w:rsid w:val="002A7375"/>
    <w:rsid w:val="002C0BA3"/>
    <w:rsid w:val="002C0FA4"/>
    <w:rsid w:val="002C182B"/>
    <w:rsid w:val="002C4366"/>
    <w:rsid w:val="002C77B0"/>
    <w:rsid w:val="002E063A"/>
    <w:rsid w:val="002E60FC"/>
    <w:rsid w:val="002F04E4"/>
    <w:rsid w:val="002F7867"/>
    <w:rsid w:val="0032419B"/>
    <w:rsid w:val="003323B1"/>
    <w:rsid w:val="00344980"/>
    <w:rsid w:val="00350AF9"/>
    <w:rsid w:val="00360E04"/>
    <w:rsid w:val="00362625"/>
    <w:rsid w:val="0037044D"/>
    <w:rsid w:val="003812A1"/>
    <w:rsid w:val="0038626D"/>
    <w:rsid w:val="00391AFE"/>
    <w:rsid w:val="00393FE8"/>
    <w:rsid w:val="00396D06"/>
    <w:rsid w:val="003A144A"/>
    <w:rsid w:val="003A3F37"/>
    <w:rsid w:val="003A441D"/>
    <w:rsid w:val="003B6B7F"/>
    <w:rsid w:val="003B78CE"/>
    <w:rsid w:val="003C45C6"/>
    <w:rsid w:val="003D3477"/>
    <w:rsid w:val="003D7154"/>
    <w:rsid w:val="003D7976"/>
    <w:rsid w:val="003F0436"/>
    <w:rsid w:val="003F5BBB"/>
    <w:rsid w:val="00402F4C"/>
    <w:rsid w:val="004331C8"/>
    <w:rsid w:val="00441094"/>
    <w:rsid w:val="00480DEB"/>
    <w:rsid w:val="00481529"/>
    <w:rsid w:val="004857ED"/>
    <w:rsid w:val="004D7DBC"/>
    <w:rsid w:val="00501FCC"/>
    <w:rsid w:val="00525CA5"/>
    <w:rsid w:val="005261CC"/>
    <w:rsid w:val="00531955"/>
    <w:rsid w:val="00546AAA"/>
    <w:rsid w:val="005529CC"/>
    <w:rsid w:val="00553C1F"/>
    <w:rsid w:val="0056173B"/>
    <w:rsid w:val="005A4EE8"/>
    <w:rsid w:val="005A6FB3"/>
    <w:rsid w:val="005C118C"/>
    <w:rsid w:val="005C3022"/>
    <w:rsid w:val="005E3034"/>
    <w:rsid w:val="00600741"/>
    <w:rsid w:val="0062037C"/>
    <w:rsid w:val="006224FD"/>
    <w:rsid w:val="00624088"/>
    <w:rsid w:val="006270BA"/>
    <w:rsid w:val="0063072D"/>
    <w:rsid w:val="00630CC1"/>
    <w:rsid w:val="006375A5"/>
    <w:rsid w:val="00660875"/>
    <w:rsid w:val="00682032"/>
    <w:rsid w:val="006903D9"/>
    <w:rsid w:val="00693F8C"/>
    <w:rsid w:val="006C57C2"/>
    <w:rsid w:val="006D15DA"/>
    <w:rsid w:val="006E461B"/>
    <w:rsid w:val="006F7176"/>
    <w:rsid w:val="007150BE"/>
    <w:rsid w:val="0072795E"/>
    <w:rsid w:val="00735D8C"/>
    <w:rsid w:val="00736465"/>
    <w:rsid w:val="00736FB8"/>
    <w:rsid w:val="0073742B"/>
    <w:rsid w:val="00774ED7"/>
    <w:rsid w:val="00780296"/>
    <w:rsid w:val="007A6A2A"/>
    <w:rsid w:val="007B40CD"/>
    <w:rsid w:val="007E357A"/>
    <w:rsid w:val="007F7261"/>
    <w:rsid w:val="00803A18"/>
    <w:rsid w:val="00823D31"/>
    <w:rsid w:val="008446E5"/>
    <w:rsid w:val="0085774E"/>
    <w:rsid w:val="00870D79"/>
    <w:rsid w:val="008725E3"/>
    <w:rsid w:val="00892E6F"/>
    <w:rsid w:val="008A1B00"/>
    <w:rsid w:val="008B0C8D"/>
    <w:rsid w:val="008B2A19"/>
    <w:rsid w:val="008C6F41"/>
    <w:rsid w:val="008D066F"/>
    <w:rsid w:val="008D2BB4"/>
    <w:rsid w:val="008E7650"/>
    <w:rsid w:val="008F4199"/>
    <w:rsid w:val="009135D2"/>
    <w:rsid w:val="00937BEC"/>
    <w:rsid w:val="009700AE"/>
    <w:rsid w:val="009833BE"/>
    <w:rsid w:val="00996560"/>
    <w:rsid w:val="009B2399"/>
    <w:rsid w:val="009B6F06"/>
    <w:rsid w:val="009C289F"/>
    <w:rsid w:val="009F6389"/>
    <w:rsid w:val="009F6E00"/>
    <w:rsid w:val="00A04D9B"/>
    <w:rsid w:val="00A1207D"/>
    <w:rsid w:val="00A20DEF"/>
    <w:rsid w:val="00A2238F"/>
    <w:rsid w:val="00A35D04"/>
    <w:rsid w:val="00A4160C"/>
    <w:rsid w:val="00A67110"/>
    <w:rsid w:val="00A91EFF"/>
    <w:rsid w:val="00AA037B"/>
    <w:rsid w:val="00AA121B"/>
    <w:rsid w:val="00AA4FDA"/>
    <w:rsid w:val="00AB0BE3"/>
    <w:rsid w:val="00AB40F4"/>
    <w:rsid w:val="00AD060E"/>
    <w:rsid w:val="00AF44DB"/>
    <w:rsid w:val="00AF5EAA"/>
    <w:rsid w:val="00B0193E"/>
    <w:rsid w:val="00B01A55"/>
    <w:rsid w:val="00B02933"/>
    <w:rsid w:val="00B04BB5"/>
    <w:rsid w:val="00B1374D"/>
    <w:rsid w:val="00B140A7"/>
    <w:rsid w:val="00B16CAE"/>
    <w:rsid w:val="00B24A13"/>
    <w:rsid w:val="00B465DF"/>
    <w:rsid w:val="00B4688C"/>
    <w:rsid w:val="00B52747"/>
    <w:rsid w:val="00B52C22"/>
    <w:rsid w:val="00B60343"/>
    <w:rsid w:val="00B62C77"/>
    <w:rsid w:val="00B76BE4"/>
    <w:rsid w:val="00B818DE"/>
    <w:rsid w:val="00B86037"/>
    <w:rsid w:val="00B87CBF"/>
    <w:rsid w:val="00BA3FB7"/>
    <w:rsid w:val="00BC2A94"/>
    <w:rsid w:val="00BD5951"/>
    <w:rsid w:val="00BE646E"/>
    <w:rsid w:val="00BF469D"/>
    <w:rsid w:val="00C02DA7"/>
    <w:rsid w:val="00C15089"/>
    <w:rsid w:val="00C31937"/>
    <w:rsid w:val="00C338B5"/>
    <w:rsid w:val="00C47C0D"/>
    <w:rsid w:val="00C53F9F"/>
    <w:rsid w:val="00C85D4B"/>
    <w:rsid w:val="00C87E44"/>
    <w:rsid w:val="00CC2619"/>
    <w:rsid w:val="00CF10E1"/>
    <w:rsid w:val="00CF131E"/>
    <w:rsid w:val="00D17BB9"/>
    <w:rsid w:val="00D40B35"/>
    <w:rsid w:val="00D41D06"/>
    <w:rsid w:val="00D660A0"/>
    <w:rsid w:val="00D71963"/>
    <w:rsid w:val="00D9701F"/>
    <w:rsid w:val="00DB7F74"/>
    <w:rsid w:val="00DC3DA9"/>
    <w:rsid w:val="00DF5D0D"/>
    <w:rsid w:val="00E109F7"/>
    <w:rsid w:val="00E10E41"/>
    <w:rsid w:val="00E3258C"/>
    <w:rsid w:val="00E474C4"/>
    <w:rsid w:val="00E623DE"/>
    <w:rsid w:val="00E66653"/>
    <w:rsid w:val="00E7244D"/>
    <w:rsid w:val="00E74C09"/>
    <w:rsid w:val="00E819B4"/>
    <w:rsid w:val="00E979CC"/>
    <w:rsid w:val="00EB0F25"/>
    <w:rsid w:val="00EB40BC"/>
    <w:rsid w:val="00EB567C"/>
    <w:rsid w:val="00EC50B1"/>
    <w:rsid w:val="00EC59B6"/>
    <w:rsid w:val="00ED26BF"/>
    <w:rsid w:val="00F041F1"/>
    <w:rsid w:val="00F041FC"/>
    <w:rsid w:val="00F05915"/>
    <w:rsid w:val="00F13190"/>
    <w:rsid w:val="00F45FBA"/>
    <w:rsid w:val="00F650F7"/>
    <w:rsid w:val="00F85760"/>
    <w:rsid w:val="00F947C7"/>
    <w:rsid w:val="00F97B7C"/>
    <w:rsid w:val="00FB6B5C"/>
    <w:rsid w:val="00FC22B1"/>
    <w:rsid w:val="00FC6AE4"/>
    <w:rsid w:val="00FC6E7B"/>
    <w:rsid w:val="00FE1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62141"/>
  <w15:chartTrackingRefBased/>
  <w15:docId w15:val="{70E9D21D-600F-45D2-A065-D26CD47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13"/>
    <w:pPr>
      <w:spacing w:after="0" w:line="240" w:lineRule="auto"/>
    </w:pPr>
    <w:rPr>
      <w:rFonts w:ascii="Calibri" w:hAnsi="Calibri" w:cs="Calibri"/>
    </w:rPr>
  </w:style>
  <w:style w:type="paragraph" w:styleId="Heading1">
    <w:name w:val="heading 1"/>
    <w:basedOn w:val="Normal"/>
    <w:next w:val="Normal"/>
    <w:link w:val="Heading1Char"/>
    <w:uiPriority w:val="9"/>
    <w:qFormat/>
    <w:rsid w:val="00000C5E"/>
    <w:pPr>
      <w:keepNext/>
      <w:keepLines/>
      <w:spacing w:before="240"/>
      <w:outlineLvl w:val="0"/>
    </w:pPr>
    <w:rPr>
      <w:rFonts w:asciiTheme="majorHAnsi" w:eastAsiaTheme="majorEastAsia" w:hAnsiTheme="majorHAnsi" w:cstheme="majorBidi"/>
      <w:color w:val="AC005D" w:themeColor="accent1" w:themeShade="BF"/>
      <w:sz w:val="32"/>
      <w:szCs w:val="32"/>
    </w:rPr>
  </w:style>
  <w:style w:type="paragraph" w:styleId="Heading2">
    <w:name w:val="heading 2"/>
    <w:basedOn w:val="Normal"/>
    <w:next w:val="Normal"/>
    <w:link w:val="Heading2Char"/>
    <w:uiPriority w:val="9"/>
    <w:unhideWhenUsed/>
    <w:qFormat/>
    <w:rsid w:val="00000C5E"/>
    <w:pPr>
      <w:keepNext/>
      <w:keepLines/>
      <w:spacing w:before="40"/>
      <w:outlineLvl w:val="1"/>
    </w:pPr>
    <w:rPr>
      <w:rFonts w:asciiTheme="majorHAnsi" w:eastAsiaTheme="majorEastAsia" w:hAnsiTheme="majorHAnsi" w:cstheme="majorBidi"/>
      <w:color w:val="AC005D" w:themeColor="accent1" w:themeShade="BF"/>
      <w:sz w:val="26"/>
      <w:szCs w:val="26"/>
    </w:rPr>
  </w:style>
  <w:style w:type="paragraph" w:styleId="Heading3">
    <w:name w:val="heading 3"/>
    <w:basedOn w:val="Normal"/>
    <w:next w:val="Normal"/>
    <w:link w:val="Heading3Char"/>
    <w:uiPriority w:val="9"/>
    <w:unhideWhenUsed/>
    <w:qFormat/>
    <w:rsid w:val="00000C5E"/>
    <w:pPr>
      <w:keepNext/>
      <w:keepLines/>
      <w:spacing w:before="40"/>
      <w:outlineLvl w:val="2"/>
    </w:pPr>
    <w:rPr>
      <w:rFonts w:asciiTheme="majorHAnsi" w:eastAsiaTheme="majorEastAsia" w:hAnsiTheme="majorHAnsi" w:cstheme="majorBidi"/>
      <w:color w:val="72003E" w:themeColor="accent1" w:themeShade="7F"/>
      <w:sz w:val="24"/>
      <w:szCs w:val="24"/>
    </w:rPr>
  </w:style>
  <w:style w:type="paragraph" w:styleId="Heading4">
    <w:name w:val="heading 4"/>
    <w:basedOn w:val="Normal"/>
    <w:next w:val="Normal"/>
    <w:link w:val="Heading4Char"/>
    <w:uiPriority w:val="9"/>
    <w:unhideWhenUsed/>
    <w:qFormat/>
    <w:rsid w:val="00000C5E"/>
    <w:pPr>
      <w:keepNext/>
      <w:keepLines/>
      <w:spacing w:before="40"/>
      <w:outlineLvl w:val="3"/>
    </w:pPr>
    <w:rPr>
      <w:rFonts w:asciiTheme="majorHAnsi" w:eastAsiaTheme="majorEastAsia" w:hAnsiTheme="majorHAnsi" w:cstheme="majorBidi"/>
      <w:i/>
      <w:iCs/>
      <w:color w:val="AC005D" w:themeColor="accent1" w:themeShade="BF"/>
    </w:rPr>
  </w:style>
  <w:style w:type="paragraph" w:styleId="Heading5">
    <w:name w:val="heading 5"/>
    <w:basedOn w:val="Normal"/>
    <w:next w:val="Normal"/>
    <w:link w:val="Heading5Char"/>
    <w:uiPriority w:val="9"/>
    <w:unhideWhenUsed/>
    <w:qFormat/>
    <w:rsid w:val="00000C5E"/>
    <w:pPr>
      <w:keepNext/>
      <w:keepLines/>
      <w:spacing w:before="40"/>
      <w:outlineLvl w:val="4"/>
    </w:pPr>
    <w:rPr>
      <w:rFonts w:asciiTheme="majorHAnsi" w:eastAsiaTheme="majorEastAsia" w:hAnsiTheme="majorHAnsi" w:cstheme="majorBidi"/>
      <w:color w:val="AC005D" w:themeColor="accent1" w:themeShade="BF"/>
    </w:rPr>
  </w:style>
  <w:style w:type="paragraph" w:styleId="Heading6">
    <w:name w:val="heading 6"/>
    <w:basedOn w:val="Normal"/>
    <w:next w:val="Normal"/>
    <w:link w:val="Heading6Char"/>
    <w:uiPriority w:val="9"/>
    <w:unhideWhenUsed/>
    <w:qFormat/>
    <w:rsid w:val="00000C5E"/>
    <w:pPr>
      <w:keepNext/>
      <w:keepLines/>
      <w:spacing w:before="40"/>
      <w:outlineLvl w:val="5"/>
    </w:pPr>
    <w:rPr>
      <w:rFonts w:asciiTheme="majorHAnsi" w:eastAsiaTheme="majorEastAsia" w:hAnsiTheme="majorHAnsi" w:cstheme="majorBidi"/>
      <w:color w:val="7200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BD"/>
    <w:pPr>
      <w:ind w:left="720"/>
      <w:contextualSpacing/>
    </w:pPr>
    <w:rPr>
      <w:rFonts w:cs="Times New Roman"/>
    </w:rPr>
  </w:style>
  <w:style w:type="character" w:customStyle="1" w:styleId="Heading1Char">
    <w:name w:val="Heading 1 Char"/>
    <w:basedOn w:val="DefaultParagraphFont"/>
    <w:link w:val="Heading1"/>
    <w:uiPriority w:val="9"/>
    <w:rsid w:val="00000C5E"/>
    <w:rPr>
      <w:rFonts w:asciiTheme="majorHAnsi" w:eastAsiaTheme="majorEastAsia" w:hAnsiTheme="majorHAnsi" w:cstheme="majorBidi"/>
      <w:color w:val="AC005D" w:themeColor="accent1" w:themeShade="BF"/>
      <w:sz w:val="32"/>
      <w:szCs w:val="32"/>
    </w:rPr>
  </w:style>
  <w:style w:type="character" w:customStyle="1" w:styleId="Heading2Char">
    <w:name w:val="Heading 2 Char"/>
    <w:basedOn w:val="DefaultParagraphFont"/>
    <w:link w:val="Heading2"/>
    <w:uiPriority w:val="9"/>
    <w:rsid w:val="00000C5E"/>
    <w:rPr>
      <w:rFonts w:asciiTheme="majorHAnsi" w:eastAsiaTheme="majorEastAsia" w:hAnsiTheme="majorHAnsi" w:cstheme="majorBidi"/>
      <w:color w:val="AC005D" w:themeColor="accent1" w:themeShade="BF"/>
      <w:sz w:val="26"/>
      <w:szCs w:val="26"/>
    </w:rPr>
  </w:style>
  <w:style w:type="character" w:customStyle="1" w:styleId="Heading3Char">
    <w:name w:val="Heading 3 Char"/>
    <w:basedOn w:val="DefaultParagraphFont"/>
    <w:link w:val="Heading3"/>
    <w:uiPriority w:val="9"/>
    <w:rsid w:val="00000C5E"/>
    <w:rPr>
      <w:rFonts w:asciiTheme="majorHAnsi" w:eastAsiaTheme="majorEastAsia" w:hAnsiTheme="majorHAnsi" w:cstheme="majorBidi"/>
      <w:color w:val="72003E" w:themeColor="accent1" w:themeShade="7F"/>
      <w:sz w:val="24"/>
      <w:szCs w:val="24"/>
    </w:rPr>
  </w:style>
  <w:style w:type="character" w:customStyle="1" w:styleId="Heading4Char">
    <w:name w:val="Heading 4 Char"/>
    <w:basedOn w:val="DefaultParagraphFont"/>
    <w:link w:val="Heading4"/>
    <w:uiPriority w:val="9"/>
    <w:rsid w:val="00000C5E"/>
    <w:rPr>
      <w:rFonts w:asciiTheme="majorHAnsi" w:eastAsiaTheme="majorEastAsia" w:hAnsiTheme="majorHAnsi" w:cstheme="majorBidi"/>
      <w:i/>
      <w:iCs/>
      <w:color w:val="AC005D" w:themeColor="accent1" w:themeShade="BF"/>
    </w:rPr>
  </w:style>
  <w:style w:type="character" w:customStyle="1" w:styleId="Heading5Char">
    <w:name w:val="Heading 5 Char"/>
    <w:basedOn w:val="DefaultParagraphFont"/>
    <w:link w:val="Heading5"/>
    <w:uiPriority w:val="9"/>
    <w:rsid w:val="00000C5E"/>
    <w:rPr>
      <w:rFonts w:asciiTheme="majorHAnsi" w:eastAsiaTheme="majorEastAsia" w:hAnsiTheme="majorHAnsi" w:cstheme="majorBidi"/>
      <w:color w:val="AC005D" w:themeColor="accent1" w:themeShade="BF"/>
    </w:rPr>
  </w:style>
  <w:style w:type="character" w:customStyle="1" w:styleId="Heading6Char">
    <w:name w:val="Heading 6 Char"/>
    <w:basedOn w:val="DefaultParagraphFont"/>
    <w:link w:val="Heading6"/>
    <w:uiPriority w:val="9"/>
    <w:rsid w:val="00000C5E"/>
    <w:rPr>
      <w:rFonts w:asciiTheme="majorHAnsi" w:eastAsiaTheme="majorEastAsia" w:hAnsiTheme="majorHAnsi" w:cstheme="majorBidi"/>
      <w:color w:val="72003E" w:themeColor="accent1" w:themeShade="7F"/>
    </w:rPr>
  </w:style>
  <w:style w:type="character" w:styleId="Hyperlink">
    <w:name w:val="Hyperlink"/>
    <w:basedOn w:val="DefaultParagraphFont"/>
    <w:uiPriority w:val="99"/>
    <w:unhideWhenUsed/>
    <w:rsid w:val="008725E3"/>
    <w:rPr>
      <w:color w:val="E6007E" w:themeColor="hyperlink"/>
      <w:u w:val="single"/>
    </w:rPr>
  </w:style>
  <w:style w:type="character" w:styleId="CommentReference">
    <w:name w:val="annotation reference"/>
    <w:basedOn w:val="DefaultParagraphFont"/>
    <w:uiPriority w:val="99"/>
    <w:semiHidden/>
    <w:unhideWhenUsed/>
    <w:rsid w:val="00201A9C"/>
    <w:rPr>
      <w:sz w:val="16"/>
      <w:szCs w:val="16"/>
    </w:rPr>
  </w:style>
  <w:style w:type="paragraph" w:styleId="CommentText">
    <w:name w:val="annotation text"/>
    <w:basedOn w:val="Normal"/>
    <w:link w:val="CommentTextChar"/>
    <w:uiPriority w:val="99"/>
    <w:semiHidden/>
    <w:unhideWhenUsed/>
    <w:rsid w:val="00201A9C"/>
    <w:rPr>
      <w:sz w:val="20"/>
      <w:szCs w:val="20"/>
    </w:rPr>
  </w:style>
  <w:style w:type="character" w:customStyle="1" w:styleId="CommentTextChar">
    <w:name w:val="Comment Text Char"/>
    <w:basedOn w:val="DefaultParagraphFont"/>
    <w:link w:val="CommentText"/>
    <w:uiPriority w:val="99"/>
    <w:semiHidden/>
    <w:rsid w:val="00201A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A9C"/>
    <w:rPr>
      <w:b/>
      <w:bCs/>
    </w:rPr>
  </w:style>
  <w:style w:type="character" w:customStyle="1" w:styleId="CommentSubjectChar">
    <w:name w:val="Comment Subject Char"/>
    <w:basedOn w:val="CommentTextChar"/>
    <w:link w:val="CommentSubject"/>
    <w:uiPriority w:val="99"/>
    <w:semiHidden/>
    <w:rsid w:val="00201A9C"/>
    <w:rPr>
      <w:rFonts w:ascii="Calibri" w:hAnsi="Calibri" w:cs="Calibri"/>
      <w:b/>
      <w:bCs/>
      <w:sz w:val="20"/>
      <w:szCs w:val="20"/>
    </w:rPr>
  </w:style>
  <w:style w:type="paragraph" w:styleId="BalloonText">
    <w:name w:val="Balloon Text"/>
    <w:basedOn w:val="Normal"/>
    <w:link w:val="BalloonTextChar"/>
    <w:uiPriority w:val="99"/>
    <w:semiHidden/>
    <w:unhideWhenUsed/>
    <w:rsid w:val="00201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9C"/>
    <w:rPr>
      <w:rFonts w:ascii="Segoe UI" w:hAnsi="Segoe UI" w:cs="Segoe UI"/>
      <w:sz w:val="18"/>
      <w:szCs w:val="18"/>
    </w:rPr>
  </w:style>
  <w:style w:type="character" w:styleId="FollowedHyperlink">
    <w:name w:val="FollowedHyperlink"/>
    <w:basedOn w:val="DefaultParagraphFont"/>
    <w:uiPriority w:val="99"/>
    <w:semiHidden/>
    <w:unhideWhenUsed/>
    <w:rsid w:val="009833BE"/>
    <w:rPr>
      <w:color w:val="AC005E" w:themeColor="followedHyperlink"/>
      <w:u w:val="single"/>
    </w:rPr>
  </w:style>
  <w:style w:type="table" w:styleId="TableGrid">
    <w:name w:val="Table Grid"/>
    <w:basedOn w:val="TableNormal"/>
    <w:uiPriority w:val="39"/>
    <w:rsid w:val="000F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4E7E"/>
    <w:rPr>
      <w:sz w:val="20"/>
      <w:szCs w:val="20"/>
    </w:rPr>
  </w:style>
  <w:style w:type="character" w:customStyle="1" w:styleId="FootnoteTextChar">
    <w:name w:val="Footnote Text Char"/>
    <w:basedOn w:val="DefaultParagraphFont"/>
    <w:link w:val="FootnoteText"/>
    <w:uiPriority w:val="99"/>
    <w:rsid w:val="000F4E7E"/>
    <w:rPr>
      <w:rFonts w:ascii="Calibri" w:hAnsi="Calibri" w:cs="Calibri"/>
      <w:sz w:val="20"/>
      <w:szCs w:val="20"/>
    </w:rPr>
  </w:style>
  <w:style w:type="character" w:styleId="FootnoteReference">
    <w:name w:val="footnote reference"/>
    <w:basedOn w:val="DefaultParagraphFont"/>
    <w:uiPriority w:val="99"/>
    <w:semiHidden/>
    <w:unhideWhenUsed/>
    <w:rsid w:val="000F4E7E"/>
    <w:rPr>
      <w:vertAlign w:val="superscript"/>
    </w:rPr>
  </w:style>
  <w:style w:type="paragraph" w:styleId="Header">
    <w:name w:val="header"/>
    <w:basedOn w:val="Normal"/>
    <w:link w:val="HeaderChar"/>
    <w:uiPriority w:val="99"/>
    <w:unhideWhenUsed/>
    <w:rsid w:val="00F85760"/>
    <w:pPr>
      <w:tabs>
        <w:tab w:val="center" w:pos="4513"/>
        <w:tab w:val="right" w:pos="9026"/>
      </w:tabs>
    </w:pPr>
  </w:style>
  <w:style w:type="character" w:customStyle="1" w:styleId="HeaderChar">
    <w:name w:val="Header Char"/>
    <w:basedOn w:val="DefaultParagraphFont"/>
    <w:link w:val="Header"/>
    <w:uiPriority w:val="99"/>
    <w:rsid w:val="00F85760"/>
    <w:rPr>
      <w:rFonts w:ascii="Calibri" w:hAnsi="Calibri" w:cs="Calibri"/>
    </w:rPr>
  </w:style>
  <w:style w:type="paragraph" w:styleId="Footer">
    <w:name w:val="footer"/>
    <w:basedOn w:val="Normal"/>
    <w:link w:val="FooterChar"/>
    <w:uiPriority w:val="99"/>
    <w:unhideWhenUsed/>
    <w:rsid w:val="00F85760"/>
    <w:pPr>
      <w:tabs>
        <w:tab w:val="center" w:pos="4513"/>
        <w:tab w:val="right" w:pos="9026"/>
      </w:tabs>
    </w:pPr>
  </w:style>
  <w:style w:type="character" w:customStyle="1" w:styleId="FooterChar">
    <w:name w:val="Footer Char"/>
    <w:basedOn w:val="DefaultParagraphFont"/>
    <w:link w:val="Footer"/>
    <w:uiPriority w:val="99"/>
    <w:rsid w:val="00F85760"/>
    <w:rPr>
      <w:rFonts w:ascii="Calibri" w:hAnsi="Calibri" w:cs="Calibri"/>
    </w:rPr>
  </w:style>
  <w:style w:type="paragraph" w:styleId="Revision">
    <w:name w:val="Revision"/>
    <w:hidden/>
    <w:uiPriority w:val="99"/>
    <w:semiHidden/>
    <w:rsid w:val="00072460"/>
    <w:pPr>
      <w:spacing w:after="0" w:line="240" w:lineRule="auto"/>
    </w:pPr>
    <w:rPr>
      <w:rFonts w:ascii="Calibri" w:hAnsi="Calibri" w:cs="Calibri"/>
    </w:rPr>
  </w:style>
  <w:style w:type="paragraph" w:styleId="TOCHeading">
    <w:name w:val="TOC Heading"/>
    <w:basedOn w:val="Heading1"/>
    <w:next w:val="Normal"/>
    <w:uiPriority w:val="39"/>
    <w:unhideWhenUsed/>
    <w:qFormat/>
    <w:rsid w:val="00774ED7"/>
    <w:pPr>
      <w:spacing w:line="259" w:lineRule="auto"/>
      <w:outlineLvl w:val="9"/>
    </w:pPr>
    <w:rPr>
      <w:lang w:val="en-US"/>
    </w:rPr>
  </w:style>
  <w:style w:type="paragraph" w:styleId="TOC1">
    <w:name w:val="toc 1"/>
    <w:basedOn w:val="Normal"/>
    <w:next w:val="Normal"/>
    <w:autoRedefine/>
    <w:uiPriority w:val="39"/>
    <w:unhideWhenUsed/>
    <w:rsid w:val="00774ED7"/>
    <w:pPr>
      <w:spacing w:after="100"/>
    </w:pPr>
  </w:style>
  <w:style w:type="paragraph" w:styleId="TOC2">
    <w:name w:val="toc 2"/>
    <w:basedOn w:val="Normal"/>
    <w:next w:val="Normal"/>
    <w:autoRedefine/>
    <w:uiPriority w:val="39"/>
    <w:unhideWhenUsed/>
    <w:rsid w:val="00774ED7"/>
    <w:pPr>
      <w:spacing w:after="100"/>
      <w:ind w:left="220"/>
    </w:pPr>
  </w:style>
  <w:style w:type="paragraph" w:styleId="TOC3">
    <w:name w:val="toc 3"/>
    <w:basedOn w:val="Normal"/>
    <w:next w:val="Normal"/>
    <w:autoRedefine/>
    <w:uiPriority w:val="39"/>
    <w:unhideWhenUsed/>
    <w:rsid w:val="00774ED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822">
      <w:bodyDiv w:val="1"/>
      <w:marLeft w:val="0"/>
      <w:marRight w:val="0"/>
      <w:marTop w:val="0"/>
      <w:marBottom w:val="0"/>
      <w:divBdr>
        <w:top w:val="none" w:sz="0" w:space="0" w:color="auto"/>
        <w:left w:val="none" w:sz="0" w:space="0" w:color="auto"/>
        <w:bottom w:val="none" w:sz="0" w:space="0" w:color="auto"/>
        <w:right w:val="none" w:sz="0" w:space="0" w:color="auto"/>
      </w:divBdr>
    </w:div>
    <w:div w:id="192887531">
      <w:bodyDiv w:val="1"/>
      <w:marLeft w:val="0"/>
      <w:marRight w:val="0"/>
      <w:marTop w:val="0"/>
      <w:marBottom w:val="0"/>
      <w:divBdr>
        <w:top w:val="none" w:sz="0" w:space="0" w:color="auto"/>
        <w:left w:val="none" w:sz="0" w:space="0" w:color="auto"/>
        <w:bottom w:val="none" w:sz="0" w:space="0" w:color="auto"/>
        <w:right w:val="none" w:sz="0" w:space="0" w:color="auto"/>
      </w:divBdr>
    </w:div>
    <w:div w:id="216280677">
      <w:bodyDiv w:val="1"/>
      <w:marLeft w:val="0"/>
      <w:marRight w:val="0"/>
      <w:marTop w:val="0"/>
      <w:marBottom w:val="0"/>
      <w:divBdr>
        <w:top w:val="none" w:sz="0" w:space="0" w:color="auto"/>
        <w:left w:val="none" w:sz="0" w:space="0" w:color="auto"/>
        <w:bottom w:val="none" w:sz="0" w:space="0" w:color="auto"/>
        <w:right w:val="none" w:sz="0" w:space="0" w:color="auto"/>
      </w:divBdr>
    </w:div>
    <w:div w:id="329329337">
      <w:bodyDiv w:val="1"/>
      <w:marLeft w:val="0"/>
      <w:marRight w:val="0"/>
      <w:marTop w:val="0"/>
      <w:marBottom w:val="0"/>
      <w:divBdr>
        <w:top w:val="none" w:sz="0" w:space="0" w:color="auto"/>
        <w:left w:val="none" w:sz="0" w:space="0" w:color="auto"/>
        <w:bottom w:val="none" w:sz="0" w:space="0" w:color="auto"/>
        <w:right w:val="none" w:sz="0" w:space="0" w:color="auto"/>
      </w:divBdr>
    </w:div>
    <w:div w:id="507789630">
      <w:bodyDiv w:val="1"/>
      <w:marLeft w:val="0"/>
      <w:marRight w:val="0"/>
      <w:marTop w:val="0"/>
      <w:marBottom w:val="0"/>
      <w:divBdr>
        <w:top w:val="none" w:sz="0" w:space="0" w:color="auto"/>
        <w:left w:val="none" w:sz="0" w:space="0" w:color="auto"/>
        <w:bottom w:val="none" w:sz="0" w:space="0" w:color="auto"/>
        <w:right w:val="none" w:sz="0" w:space="0" w:color="auto"/>
      </w:divBdr>
    </w:div>
    <w:div w:id="509686036">
      <w:bodyDiv w:val="1"/>
      <w:marLeft w:val="0"/>
      <w:marRight w:val="0"/>
      <w:marTop w:val="0"/>
      <w:marBottom w:val="0"/>
      <w:divBdr>
        <w:top w:val="none" w:sz="0" w:space="0" w:color="auto"/>
        <w:left w:val="none" w:sz="0" w:space="0" w:color="auto"/>
        <w:bottom w:val="none" w:sz="0" w:space="0" w:color="auto"/>
        <w:right w:val="none" w:sz="0" w:space="0" w:color="auto"/>
      </w:divBdr>
    </w:div>
    <w:div w:id="598756579">
      <w:bodyDiv w:val="1"/>
      <w:marLeft w:val="0"/>
      <w:marRight w:val="0"/>
      <w:marTop w:val="0"/>
      <w:marBottom w:val="0"/>
      <w:divBdr>
        <w:top w:val="none" w:sz="0" w:space="0" w:color="auto"/>
        <w:left w:val="none" w:sz="0" w:space="0" w:color="auto"/>
        <w:bottom w:val="none" w:sz="0" w:space="0" w:color="auto"/>
        <w:right w:val="none" w:sz="0" w:space="0" w:color="auto"/>
      </w:divBdr>
    </w:div>
    <w:div w:id="600842900">
      <w:bodyDiv w:val="1"/>
      <w:marLeft w:val="0"/>
      <w:marRight w:val="0"/>
      <w:marTop w:val="0"/>
      <w:marBottom w:val="0"/>
      <w:divBdr>
        <w:top w:val="none" w:sz="0" w:space="0" w:color="auto"/>
        <w:left w:val="none" w:sz="0" w:space="0" w:color="auto"/>
        <w:bottom w:val="none" w:sz="0" w:space="0" w:color="auto"/>
        <w:right w:val="none" w:sz="0" w:space="0" w:color="auto"/>
      </w:divBdr>
    </w:div>
    <w:div w:id="733427742">
      <w:bodyDiv w:val="1"/>
      <w:marLeft w:val="0"/>
      <w:marRight w:val="0"/>
      <w:marTop w:val="0"/>
      <w:marBottom w:val="0"/>
      <w:divBdr>
        <w:top w:val="none" w:sz="0" w:space="0" w:color="auto"/>
        <w:left w:val="none" w:sz="0" w:space="0" w:color="auto"/>
        <w:bottom w:val="none" w:sz="0" w:space="0" w:color="auto"/>
        <w:right w:val="none" w:sz="0" w:space="0" w:color="auto"/>
      </w:divBdr>
    </w:div>
    <w:div w:id="760414318">
      <w:bodyDiv w:val="1"/>
      <w:marLeft w:val="0"/>
      <w:marRight w:val="0"/>
      <w:marTop w:val="0"/>
      <w:marBottom w:val="0"/>
      <w:divBdr>
        <w:top w:val="none" w:sz="0" w:space="0" w:color="auto"/>
        <w:left w:val="none" w:sz="0" w:space="0" w:color="auto"/>
        <w:bottom w:val="none" w:sz="0" w:space="0" w:color="auto"/>
        <w:right w:val="none" w:sz="0" w:space="0" w:color="auto"/>
      </w:divBdr>
    </w:div>
    <w:div w:id="788356663">
      <w:bodyDiv w:val="1"/>
      <w:marLeft w:val="0"/>
      <w:marRight w:val="0"/>
      <w:marTop w:val="0"/>
      <w:marBottom w:val="0"/>
      <w:divBdr>
        <w:top w:val="none" w:sz="0" w:space="0" w:color="auto"/>
        <w:left w:val="none" w:sz="0" w:space="0" w:color="auto"/>
        <w:bottom w:val="none" w:sz="0" w:space="0" w:color="auto"/>
        <w:right w:val="none" w:sz="0" w:space="0" w:color="auto"/>
      </w:divBdr>
    </w:div>
    <w:div w:id="808939666">
      <w:bodyDiv w:val="1"/>
      <w:marLeft w:val="0"/>
      <w:marRight w:val="0"/>
      <w:marTop w:val="0"/>
      <w:marBottom w:val="0"/>
      <w:divBdr>
        <w:top w:val="none" w:sz="0" w:space="0" w:color="auto"/>
        <w:left w:val="none" w:sz="0" w:space="0" w:color="auto"/>
        <w:bottom w:val="none" w:sz="0" w:space="0" w:color="auto"/>
        <w:right w:val="none" w:sz="0" w:space="0" w:color="auto"/>
      </w:divBdr>
    </w:div>
    <w:div w:id="960113082">
      <w:bodyDiv w:val="1"/>
      <w:marLeft w:val="0"/>
      <w:marRight w:val="0"/>
      <w:marTop w:val="0"/>
      <w:marBottom w:val="0"/>
      <w:divBdr>
        <w:top w:val="none" w:sz="0" w:space="0" w:color="auto"/>
        <w:left w:val="none" w:sz="0" w:space="0" w:color="auto"/>
        <w:bottom w:val="none" w:sz="0" w:space="0" w:color="auto"/>
        <w:right w:val="none" w:sz="0" w:space="0" w:color="auto"/>
      </w:divBdr>
    </w:div>
    <w:div w:id="987781612">
      <w:bodyDiv w:val="1"/>
      <w:marLeft w:val="0"/>
      <w:marRight w:val="0"/>
      <w:marTop w:val="0"/>
      <w:marBottom w:val="0"/>
      <w:divBdr>
        <w:top w:val="none" w:sz="0" w:space="0" w:color="auto"/>
        <w:left w:val="none" w:sz="0" w:space="0" w:color="auto"/>
        <w:bottom w:val="none" w:sz="0" w:space="0" w:color="auto"/>
        <w:right w:val="none" w:sz="0" w:space="0" w:color="auto"/>
      </w:divBdr>
    </w:div>
    <w:div w:id="1014839170">
      <w:bodyDiv w:val="1"/>
      <w:marLeft w:val="0"/>
      <w:marRight w:val="0"/>
      <w:marTop w:val="0"/>
      <w:marBottom w:val="0"/>
      <w:divBdr>
        <w:top w:val="none" w:sz="0" w:space="0" w:color="auto"/>
        <w:left w:val="none" w:sz="0" w:space="0" w:color="auto"/>
        <w:bottom w:val="none" w:sz="0" w:space="0" w:color="auto"/>
        <w:right w:val="none" w:sz="0" w:space="0" w:color="auto"/>
      </w:divBdr>
    </w:div>
    <w:div w:id="1284768511">
      <w:bodyDiv w:val="1"/>
      <w:marLeft w:val="0"/>
      <w:marRight w:val="0"/>
      <w:marTop w:val="0"/>
      <w:marBottom w:val="0"/>
      <w:divBdr>
        <w:top w:val="none" w:sz="0" w:space="0" w:color="auto"/>
        <w:left w:val="none" w:sz="0" w:space="0" w:color="auto"/>
        <w:bottom w:val="none" w:sz="0" w:space="0" w:color="auto"/>
        <w:right w:val="none" w:sz="0" w:space="0" w:color="auto"/>
      </w:divBdr>
    </w:div>
    <w:div w:id="1318457774">
      <w:bodyDiv w:val="1"/>
      <w:marLeft w:val="0"/>
      <w:marRight w:val="0"/>
      <w:marTop w:val="0"/>
      <w:marBottom w:val="0"/>
      <w:divBdr>
        <w:top w:val="none" w:sz="0" w:space="0" w:color="auto"/>
        <w:left w:val="none" w:sz="0" w:space="0" w:color="auto"/>
        <w:bottom w:val="none" w:sz="0" w:space="0" w:color="auto"/>
        <w:right w:val="none" w:sz="0" w:space="0" w:color="auto"/>
      </w:divBdr>
    </w:div>
    <w:div w:id="1322656605">
      <w:bodyDiv w:val="1"/>
      <w:marLeft w:val="0"/>
      <w:marRight w:val="0"/>
      <w:marTop w:val="0"/>
      <w:marBottom w:val="0"/>
      <w:divBdr>
        <w:top w:val="none" w:sz="0" w:space="0" w:color="auto"/>
        <w:left w:val="none" w:sz="0" w:space="0" w:color="auto"/>
        <w:bottom w:val="none" w:sz="0" w:space="0" w:color="auto"/>
        <w:right w:val="none" w:sz="0" w:space="0" w:color="auto"/>
      </w:divBdr>
    </w:div>
    <w:div w:id="1334718829">
      <w:bodyDiv w:val="1"/>
      <w:marLeft w:val="0"/>
      <w:marRight w:val="0"/>
      <w:marTop w:val="0"/>
      <w:marBottom w:val="0"/>
      <w:divBdr>
        <w:top w:val="none" w:sz="0" w:space="0" w:color="auto"/>
        <w:left w:val="none" w:sz="0" w:space="0" w:color="auto"/>
        <w:bottom w:val="none" w:sz="0" w:space="0" w:color="auto"/>
        <w:right w:val="none" w:sz="0" w:space="0" w:color="auto"/>
      </w:divBdr>
    </w:div>
    <w:div w:id="1410269818">
      <w:bodyDiv w:val="1"/>
      <w:marLeft w:val="0"/>
      <w:marRight w:val="0"/>
      <w:marTop w:val="0"/>
      <w:marBottom w:val="0"/>
      <w:divBdr>
        <w:top w:val="none" w:sz="0" w:space="0" w:color="auto"/>
        <w:left w:val="none" w:sz="0" w:space="0" w:color="auto"/>
        <w:bottom w:val="none" w:sz="0" w:space="0" w:color="auto"/>
        <w:right w:val="none" w:sz="0" w:space="0" w:color="auto"/>
      </w:divBdr>
    </w:div>
    <w:div w:id="1576014091">
      <w:bodyDiv w:val="1"/>
      <w:marLeft w:val="0"/>
      <w:marRight w:val="0"/>
      <w:marTop w:val="0"/>
      <w:marBottom w:val="0"/>
      <w:divBdr>
        <w:top w:val="none" w:sz="0" w:space="0" w:color="auto"/>
        <w:left w:val="none" w:sz="0" w:space="0" w:color="auto"/>
        <w:bottom w:val="none" w:sz="0" w:space="0" w:color="auto"/>
        <w:right w:val="none" w:sz="0" w:space="0" w:color="auto"/>
      </w:divBdr>
    </w:div>
    <w:div w:id="1616867140">
      <w:bodyDiv w:val="1"/>
      <w:marLeft w:val="0"/>
      <w:marRight w:val="0"/>
      <w:marTop w:val="0"/>
      <w:marBottom w:val="0"/>
      <w:divBdr>
        <w:top w:val="none" w:sz="0" w:space="0" w:color="auto"/>
        <w:left w:val="none" w:sz="0" w:space="0" w:color="auto"/>
        <w:bottom w:val="none" w:sz="0" w:space="0" w:color="auto"/>
        <w:right w:val="none" w:sz="0" w:space="0" w:color="auto"/>
      </w:divBdr>
    </w:div>
    <w:div w:id="1647392273">
      <w:bodyDiv w:val="1"/>
      <w:marLeft w:val="0"/>
      <w:marRight w:val="0"/>
      <w:marTop w:val="0"/>
      <w:marBottom w:val="0"/>
      <w:divBdr>
        <w:top w:val="none" w:sz="0" w:space="0" w:color="auto"/>
        <w:left w:val="none" w:sz="0" w:space="0" w:color="auto"/>
        <w:bottom w:val="none" w:sz="0" w:space="0" w:color="auto"/>
        <w:right w:val="none" w:sz="0" w:space="0" w:color="auto"/>
      </w:divBdr>
    </w:div>
    <w:div w:id="1647780209">
      <w:bodyDiv w:val="1"/>
      <w:marLeft w:val="0"/>
      <w:marRight w:val="0"/>
      <w:marTop w:val="0"/>
      <w:marBottom w:val="0"/>
      <w:divBdr>
        <w:top w:val="none" w:sz="0" w:space="0" w:color="auto"/>
        <w:left w:val="none" w:sz="0" w:space="0" w:color="auto"/>
        <w:bottom w:val="none" w:sz="0" w:space="0" w:color="auto"/>
        <w:right w:val="none" w:sz="0" w:space="0" w:color="auto"/>
      </w:divBdr>
    </w:div>
    <w:div w:id="1664816548">
      <w:bodyDiv w:val="1"/>
      <w:marLeft w:val="0"/>
      <w:marRight w:val="0"/>
      <w:marTop w:val="0"/>
      <w:marBottom w:val="0"/>
      <w:divBdr>
        <w:top w:val="none" w:sz="0" w:space="0" w:color="auto"/>
        <w:left w:val="none" w:sz="0" w:space="0" w:color="auto"/>
        <w:bottom w:val="none" w:sz="0" w:space="0" w:color="auto"/>
        <w:right w:val="none" w:sz="0" w:space="0" w:color="auto"/>
      </w:divBdr>
    </w:div>
    <w:div w:id="1676033900">
      <w:bodyDiv w:val="1"/>
      <w:marLeft w:val="0"/>
      <w:marRight w:val="0"/>
      <w:marTop w:val="0"/>
      <w:marBottom w:val="0"/>
      <w:divBdr>
        <w:top w:val="none" w:sz="0" w:space="0" w:color="auto"/>
        <w:left w:val="none" w:sz="0" w:space="0" w:color="auto"/>
        <w:bottom w:val="none" w:sz="0" w:space="0" w:color="auto"/>
        <w:right w:val="none" w:sz="0" w:space="0" w:color="auto"/>
      </w:divBdr>
    </w:div>
    <w:div w:id="1812092288">
      <w:bodyDiv w:val="1"/>
      <w:marLeft w:val="0"/>
      <w:marRight w:val="0"/>
      <w:marTop w:val="0"/>
      <w:marBottom w:val="0"/>
      <w:divBdr>
        <w:top w:val="none" w:sz="0" w:space="0" w:color="auto"/>
        <w:left w:val="none" w:sz="0" w:space="0" w:color="auto"/>
        <w:bottom w:val="none" w:sz="0" w:space="0" w:color="auto"/>
        <w:right w:val="none" w:sz="0" w:space="0" w:color="auto"/>
      </w:divBdr>
    </w:div>
    <w:div w:id="2094545877">
      <w:bodyDiv w:val="1"/>
      <w:marLeft w:val="0"/>
      <w:marRight w:val="0"/>
      <w:marTop w:val="0"/>
      <w:marBottom w:val="0"/>
      <w:divBdr>
        <w:top w:val="none" w:sz="0" w:space="0" w:color="auto"/>
        <w:left w:val="none" w:sz="0" w:space="0" w:color="auto"/>
        <w:bottom w:val="none" w:sz="0" w:space="0" w:color="auto"/>
        <w:right w:val="none" w:sz="0" w:space="0" w:color="auto"/>
      </w:divBdr>
    </w:div>
    <w:div w:id="2138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national-pupil-databa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FFT">
  <a:themeElements>
    <a:clrScheme name="FFT">
      <a:dk1>
        <a:srgbClr val="535353"/>
      </a:dk1>
      <a:lt1>
        <a:sysClr val="window" lastClr="FFFFFF"/>
      </a:lt1>
      <a:dk2>
        <a:srgbClr val="959595"/>
      </a:dk2>
      <a:lt2>
        <a:srgbClr val="F3F3F3"/>
      </a:lt2>
      <a:accent1>
        <a:srgbClr val="E6007E"/>
      </a:accent1>
      <a:accent2>
        <a:srgbClr val="2DAAE1"/>
      </a:accent2>
      <a:accent3>
        <a:srgbClr val="96C103"/>
      </a:accent3>
      <a:accent4>
        <a:srgbClr val="EFA2CC"/>
      </a:accent4>
      <a:accent5>
        <a:srgbClr val="B1DBED"/>
      </a:accent5>
      <a:accent6>
        <a:srgbClr val="D4E2AC"/>
      </a:accent6>
      <a:hlink>
        <a:srgbClr val="E6007E"/>
      </a:hlink>
      <a:folHlink>
        <a:srgbClr val="AC005E"/>
      </a:folHlink>
    </a:clrScheme>
    <a:fontScheme name="FFT">
      <a:majorFont>
        <a:latin typeface="Avenir LT Std 55 Roman"/>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77EB-2C36-496E-B281-9E25CDEB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1894</Words>
  <Characters>10799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Nye</dc:creator>
  <cp:keywords/>
  <dc:description/>
  <cp:lastModifiedBy>Caitlin Watson</cp:lastModifiedBy>
  <cp:revision>2</cp:revision>
  <dcterms:created xsi:type="dcterms:W3CDTF">2020-11-23T16:34:00Z</dcterms:created>
  <dcterms:modified xsi:type="dcterms:W3CDTF">2020-11-23T16:34:00Z</dcterms:modified>
</cp:coreProperties>
</file>