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C9" w:rsidRPr="002B5DED" w:rsidRDefault="002B5DED">
      <w:pPr>
        <w:rPr>
          <w:rFonts w:ascii="Arial" w:hAnsi="Arial" w:cs="Arial"/>
          <w:b/>
          <w:sz w:val="36"/>
          <w:szCs w:val="36"/>
        </w:rPr>
      </w:pPr>
      <w:r w:rsidRPr="002B5DED">
        <w:rPr>
          <w:rFonts w:ascii="Arial" w:hAnsi="Arial" w:cs="Arial"/>
          <w:b/>
          <w:sz w:val="36"/>
          <w:szCs w:val="36"/>
        </w:rPr>
        <w:t>2019 and 2020 Briefing Document</w:t>
      </w:r>
    </w:p>
    <w:p w:rsidR="00A842B2" w:rsidRPr="002B5DED" w:rsidRDefault="005B603D">
      <w:pPr>
        <w:rPr>
          <w:rFonts w:ascii="Arial" w:hAnsi="Arial" w:cs="Arial"/>
          <w:b/>
          <w:sz w:val="30"/>
          <w:szCs w:val="30"/>
        </w:rPr>
      </w:pPr>
      <w:r w:rsidRPr="002B5DED">
        <w:rPr>
          <w:rFonts w:ascii="Arial" w:hAnsi="Arial" w:cs="Arial"/>
          <w:b/>
          <w:sz w:val="30"/>
          <w:szCs w:val="30"/>
        </w:rPr>
        <w:t>S</w:t>
      </w:r>
      <w:r w:rsidR="00273649" w:rsidRPr="002B5DED">
        <w:rPr>
          <w:rFonts w:ascii="Arial" w:hAnsi="Arial" w:cs="Arial"/>
          <w:b/>
          <w:sz w:val="30"/>
          <w:szCs w:val="30"/>
        </w:rPr>
        <w:t>ources</w:t>
      </w:r>
      <w:r w:rsidR="00356CED" w:rsidRPr="002B5DED">
        <w:rPr>
          <w:rFonts w:ascii="Arial" w:hAnsi="Arial" w:cs="Arial"/>
          <w:b/>
          <w:sz w:val="30"/>
          <w:szCs w:val="30"/>
        </w:rPr>
        <w:t xml:space="preserve">, </w:t>
      </w:r>
      <w:r w:rsidR="00B06171" w:rsidRPr="002B5DED">
        <w:rPr>
          <w:rFonts w:ascii="Arial" w:hAnsi="Arial" w:cs="Arial"/>
          <w:b/>
          <w:sz w:val="30"/>
          <w:szCs w:val="30"/>
        </w:rPr>
        <w:t>diagrams</w:t>
      </w:r>
      <w:r w:rsidR="00356CED" w:rsidRPr="002B5DED">
        <w:rPr>
          <w:rFonts w:ascii="Arial" w:hAnsi="Arial" w:cs="Arial"/>
          <w:b/>
          <w:sz w:val="30"/>
          <w:szCs w:val="30"/>
        </w:rPr>
        <w:t xml:space="preserve"> and further notes</w:t>
      </w:r>
      <w:r w:rsidR="00B06171" w:rsidRPr="002B5DED">
        <w:rPr>
          <w:rFonts w:ascii="Arial" w:hAnsi="Arial" w:cs="Arial"/>
          <w:b/>
          <w:sz w:val="30"/>
          <w:szCs w:val="30"/>
        </w:rPr>
        <w:t xml:space="preserve"> to</w:t>
      </w:r>
      <w:r w:rsidR="00A842B2" w:rsidRPr="002B5DED">
        <w:rPr>
          <w:rFonts w:ascii="Arial" w:hAnsi="Arial" w:cs="Arial"/>
          <w:b/>
          <w:sz w:val="30"/>
          <w:szCs w:val="30"/>
        </w:rPr>
        <w:t xml:space="preserve"> follow</w:t>
      </w:r>
      <w:r w:rsidR="00273649" w:rsidRPr="002B5DED">
        <w:rPr>
          <w:rFonts w:ascii="Arial" w:hAnsi="Arial" w:cs="Arial"/>
          <w:b/>
          <w:sz w:val="30"/>
          <w:szCs w:val="30"/>
        </w:rPr>
        <w:t xml:space="preserve"> the</w:t>
      </w:r>
      <w:r w:rsidR="00A842B2" w:rsidRPr="002B5DED">
        <w:rPr>
          <w:rFonts w:ascii="Arial" w:hAnsi="Arial" w:cs="Arial"/>
          <w:b/>
          <w:sz w:val="30"/>
          <w:szCs w:val="30"/>
        </w:rPr>
        <w:t xml:space="preserve"> tabulated information</w:t>
      </w:r>
    </w:p>
    <w:tbl>
      <w:tblPr>
        <w:tblStyle w:val="TableGrid"/>
        <w:tblW w:w="0" w:type="auto"/>
        <w:tblLook w:val="04A0" w:firstRow="1" w:lastRow="0" w:firstColumn="1" w:lastColumn="0" w:noHBand="0" w:noVBand="1"/>
      </w:tblPr>
      <w:tblGrid>
        <w:gridCol w:w="3487"/>
        <w:gridCol w:w="1921"/>
        <w:gridCol w:w="5048"/>
      </w:tblGrid>
      <w:tr w:rsidR="007F4576" w:rsidRPr="002B5DED" w:rsidTr="00843BBD">
        <w:tc>
          <w:tcPr>
            <w:tcW w:w="3487" w:type="dxa"/>
          </w:tcPr>
          <w:p w:rsidR="00A842B2" w:rsidRPr="002B5DED" w:rsidRDefault="00A842B2" w:rsidP="009E7974">
            <w:pPr>
              <w:widowControl w:val="0"/>
              <w:rPr>
                <w:rFonts w:ascii="Arial" w:hAnsi="Arial" w:cs="Arial"/>
                <w:sz w:val="24"/>
                <w:szCs w:val="24"/>
              </w:rPr>
            </w:pPr>
            <w:r w:rsidRPr="002B5DED">
              <w:rPr>
                <w:rFonts w:ascii="Arial" w:hAnsi="Arial" w:cs="Arial"/>
                <w:sz w:val="24"/>
                <w:szCs w:val="24"/>
              </w:rPr>
              <w:t>QUE</w:t>
            </w:r>
            <w:r w:rsidR="005B603D" w:rsidRPr="002B5DED">
              <w:rPr>
                <w:rFonts w:ascii="Arial" w:hAnsi="Arial" w:cs="Arial"/>
                <w:sz w:val="24"/>
                <w:szCs w:val="24"/>
              </w:rPr>
              <w:t>STION UNDER CONSIDERATION</w:t>
            </w:r>
          </w:p>
        </w:tc>
        <w:tc>
          <w:tcPr>
            <w:tcW w:w="1921" w:type="dxa"/>
          </w:tcPr>
          <w:p w:rsidR="00A842B2" w:rsidRPr="002B5DED" w:rsidRDefault="00AB77FC" w:rsidP="009E7974">
            <w:pPr>
              <w:widowControl w:val="0"/>
              <w:rPr>
                <w:rFonts w:ascii="Arial" w:hAnsi="Arial" w:cs="Arial"/>
                <w:sz w:val="24"/>
                <w:szCs w:val="24"/>
              </w:rPr>
            </w:pPr>
            <w:r w:rsidRPr="002B5DED">
              <w:rPr>
                <w:rFonts w:ascii="Arial" w:hAnsi="Arial" w:cs="Arial"/>
                <w:sz w:val="24"/>
                <w:szCs w:val="24"/>
              </w:rPr>
              <w:t>KEY POINTS</w:t>
            </w:r>
          </w:p>
        </w:tc>
        <w:tc>
          <w:tcPr>
            <w:tcW w:w="5048" w:type="dxa"/>
          </w:tcPr>
          <w:p w:rsidR="00A842B2" w:rsidRPr="002B5DED" w:rsidRDefault="005B603D" w:rsidP="009E7974">
            <w:pPr>
              <w:rPr>
                <w:rFonts w:ascii="Arial" w:hAnsi="Arial" w:cs="Arial"/>
                <w:sz w:val="24"/>
                <w:szCs w:val="24"/>
              </w:rPr>
            </w:pPr>
            <w:r w:rsidRPr="002B5DED">
              <w:rPr>
                <w:rFonts w:ascii="Arial" w:hAnsi="Arial" w:cs="Arial"/>
                <w:sz w:val="24"/>
                <w:szCs w:val="24"/>
              </w:rPr>
              <w:t>DETAIL AND FURTHER INFORMATION</w:t>
            </w:r>
          </w:p>
          <w:p w:rsidR="00A842B2" w:rsidRPr="002B5DED" w:rsidRDefault="00A842B2" w:rsidP="009E7974">
            <w:pPr>
              <w:rPr>
                <w:rFonts w:ascii="Arial" w:hAnsi="Arial" w:cs="Arial"/>
                <w:i/>
                <w:sz w:val="24"/>
                <w:szCs w:val="24"/>
              </w:rPr>
            </w:pPr>
          </w:p>
        </w:tc>
      </w:tr>
      <w:tr w:rsidR="007F4576" w:rsidRPr="002B5DED" w:rsidTr="00843BBD">
        <w:tc>
          <w:tcPr>
            <w:tcW w:w="3487" w:type="dxa"/>
          </w:tcPr>
          <w:p w:rsidR="005B603D" w:rsidRPr="002B5DED" w:rsidRDefault="005B603D" w:rsidP="005B603D">
            <w:pPr>
              <w:rPr>
                <w:rFonts w:ascii="Arial" w:hAnsi="Arial" w:cs="Arial"/>
                <w:sz w:val="24"/>
                <w:szCs w:val="24"/>
              </w:rPr>
            </w:pPr>
            <w:r w:rsidRPr="002B5DED">
              <w:rPr>
                <w:rFonts w:ascii="Arial" w:hAnsi="Arial" w:cs="Arial"/>
                <w:sz w:val="24"/>
                <w:szCs w:val="24"/>
              </w:rPr>
              <w:t>How significant was the flooding of Venice in November 2019 compared with its historic record of flooding?</w:t>
            </w:r>
          </w:p>
          <w:p w:rsidR="005B603D" w:rsidRPr="002B5DED" w:rsidRDefault="005B603D" w:rsidP="00A842B2">
            <w:pPr>
              <w:widowControl w:val="0"/>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p>
          <w:p w:rsidR="00E42528" w:rsidRPr="002B5DED" w:rsidRDefault="00E42528" w:rsidP="00E42528">
            <w:pPr>
              <w:rPr>
                <w:rFonts w:ascii="Arial" w:hAnsi="Arial" w:cs="Arial"/>
                <w:sz w:val="24"/>
                <w:szCs w:val="24"/>
              </w:rPr>
            </w:pPr>
            <w:r w:rsidRPr="002B5DED">
              <w:rPr>
                <w:rFonts w:ascii="Arial" w:hAnsi="Arial" w:cs="Arial"/>
                <w:sz w:val="24"/>
                <w:szCs w:val="24"/>
              </w:rPr>
              <w:t>Suggest reasons for the flooding of Venice in November 2019.</w:t>
            </w: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7A3E4D" w:rsidRPr="002B5DED" w:rsidRDefault="007A3E4D" w:rsidP="008F343A">
            <w:pPr>
              <w:rPr>
                <w:rFonts w:ascii="Arial" w:hAnsi="Arial" w:cs="Arial"/>
                <w:sz w:val="24"/>
                <w:szCs w:val="24"/>
              </w:rPr>
            </w:pPr>
          </w:p>
          <w:p w:rsidR="007A3E4D" w:rsidRDefault="007A3E4D" w:rsidP="008F343A">
            <w:pPr>
              <w:rPr>
                <w:rFonts w:ascii="Arial" w:hAnsi="Arial" w:cs="Arial"/>
                <w:sz w:val="24"/>
                <w:szCs w:val="24"/>
              </w:rPr>
            </w:pPr>
          </w:p>
          <w:p w:rsidR="0001379E" w:rsidRDefault="0001379E" w:rsidP="008F343A">
            <w:pPr>
              <w:rPr>
                <w:rFonts w:ascii="Arial" w:hAnsi="Arial" w:cs="Arial"/>
                <w:sz w:val="24"/>
                <w:szCs w:val="24"/>
              </w:rPr>
            </w:pPr>
          </w:p>
          <w:p w:rsidR="0001379E" w:rsidRDefault="0001379E" w:rsidP="008F343A">
            <w:pPr>
              <w:rPr>
                <w:rFonts w:ascii="Arial" w:hAnsi="Arial" w:cs="Arial"/>
                <w:sz w:val="24"/>
                <w:szCs w:val="24"/>
              </w:rPr>
            </w:pPr>
          </w:p>
          <w:p w:rsidR="0001379E" w:rsidRDefault="0001379E" w:rsidP="008F343A">
            <w:pPr>
              <w:rPr>
                <w:rFonts w:ascii="Arial" w:hAnsi="Arial" w:cs="Arial"/>
                <w:sz w:val="24"/>
                <w:szCs w:val="24"/>
              </w:rPr>
            </w:pPr>
          </w:p>
          <w:p w:rsidR="0001379E" w:rsidRDefault="0001379E" w:rsidP="008F343A">
            <w:pPr>
              <w:rPr>
                <w:rFonts w:ascii="Arial" w:hAnsi="Arial" w:cs="Arial"/>
                <w:sz w:val="24"/>
                <w:szCs w:val="24"/>
              </w:rPr>
            </w:pPr>
          </w:p>
          <w:p w:rsidR="0001379E" w:rsidRDefault="0001379E" w:rsidP="008F343A">
            <w:pPr>
              <w:rPr>
                <w:rFonts w:ascii="Arial" w:hAnsi="Arial" w:cs="Arial"/>
                <w:sz w:val="24"/>
                <w:szCs w:val="24"/>
              </w:rPr>
            </w:pPr>
          </w:p>
          <w:p w:rsidR="0001379E" w:rsidRPr="002B5DED" w:rsidRDefault="0001379E" w:rsidP="008F343A">
            <w:pPr>
              <w:rPr>
                <w:rFonts w:ascii="Arial" w:hAnsi="Arial" w:cs="Arial"/>
                <w:sz w:val="24"/>
                <w:szCs w:val="24"/>
              </w:rPr>
            </w:pPr>
          </w:p>
          <w:p w:rsidR="007A3E4D" w:rsidRDefault="007A3E4D" w:rsidP="008F343A">
            <w:pPr>
              <w:rPr>
                <w:rFonts w:ascii="Arial" w:hAnsi="Arial" w:cs="Arial"/>
                <w:sz w:val="24"/>
                <w:szCs w:val="24"/>
              </w:rPr>
            </w:pPr>
          </w:p>
          <w:p w:rsidR="0001379E" w:rsidRPr="002B5DED" w:rsidRDefault="0001379E" w:rsidP="008F343A">
            <w:pPr>
              <w:rPr>
                <w:rFonts w:ascii="Arial" w:hAnsi="Arial" w:cs="Arial"/>
                <w:sz w:val="24"/>
                <w:szCs w:val="24"/>
              </w:rPr>
            </w:pPr>
          </w:p>
          <w:p w:rsidR="008F343A" w:rsidRPr="002B5DED" w:rsidRDefault="008F343A" w:rsidP="008F343A">
            <w:pPr>
              <w:rPr>
                <w:rFonts w:ascii="Arial" w:hAnsi="Arial" w:cs="Arial"/>
                <w:sz w:val="24"/>
                <w:szCs w:val="24"/>
              </w:rPr>
            </w:pPr>
            <w:r w:rsidRPr="002B5DED">
              <w:rPr>
                <w:rFonts w:ascii="Arial" w:hAnsi="Arial" w:cs="Arial"/>
                <w:sz w:val="24"/>
                <w:szCs w:val="24"/>
              </w:rPr>
              <w:t>Give</w:t>
            </w:r>
            <w:r w:rsidR="00E74B46" w:rsidRPr="002B5DED">
              <w:rPr>
                <w:rFonts w:ascii="Arial" w:hAnsi="Arial" w:cs="Arial"/>
                <w:sz w:val="24"/>
                <w:szCs w:val="24"/>
              </w:rPr>
              <w:t xml:space="preserve"> some </w:t>
            </w:r>
            <w:r w:rsidRPr="002B5DED">
              <w:rPr>
                <w:rFonts w:ascii="Arial" w:hAnsi="Arial" w:cs="Arial"/>
                <w:sz w:val="24"/>
                <w:szCs w:val="24"/>
              </w:rPr>
              <w:t>economic</w:t>
            </w:r>
            <w:r w:rsidR="00E74B46" w:rsidRPr="002B5DED">
              <w:rPr>
                <w:rFonts w:ascii="Arial" w:hAnsi="Arial" w:cs="Arial"/>
                <w:sz w:val="24"/>
                <w:szCs w:val="24"/>
              </w:rPr>
              <w:t xml:space="preserve"> and social</w:t>
            </w:r>
            <w:r w:rsidRPr="002B5DED">
              <w:rPr>
                <w:rFonts w:ascii="Arial" w:hAnsi="Arial" w:cs="Arial"/>
                <w:sz w:val="24"/>
                <w:szCs w:val="24"/>
              </w:rPr>
              <w:t xml:space="preserve"> impacts of this episode of flooding.</w:t>
            </w: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356CED" w:rsidRPr="002B5DED" w:rsidRDefault="00356CED"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D06CCD" w:rsidRDefault="00D06CCD" w:rsidP="00A842B2">
            <w:pPr>
              <w:widowControl w:val="0"/>
              <w:rPr>
                <w:rFonts w:ascii="Arial" w:hAnsi="Arial" w:cs="Arial"/>
                <w:sz w:val="24"/>
                <w:szCs w:val="24"/>
              </w:rPr>
            </w:pPr>
          </w:p>
          <w:p w:rsidR="0001379E" w:rsidRDefault="0001379E" w:rsidP="00A842B2">
            <w:pPr>
              <w:widowControl w:val="0"/>
              <w:rPr>
                <w:rFonts w:ascii="Arial" w:hAnsi="Arial" w:cs="Arial"/>
                <w:sz w:val="24"/>
                <w:szCs w:val="24"/>
              </w:rPr>
            </w:pPr>
          </w:p>
          <w:p w:rsidR="0001379E" w:rsidRPr="002B5DED" w:rsidRDefault="0001379E" w:rsidP="00A842B2">
            <w:pPr>
              <w:widowControl w:val="0"/>
              <w:rPr>
                <w:rFonts w:ascii="Arial" w:hAnsi="Arial" w:cs="Arial"/>
                <w:sz w:val="24"/>
                <w:szCs w:val="24"/>
              </w:rPr>
            </w:pPr>
          </w:p>
          <w:p w:rsidR="00045DFB" w:rsidRPr="002B5DED" w:rsidRDefault="00045DFB" w:rsidP="00045DFB">
            <w:pPr>
              <w:rPr>
                <w:rFonts w:ascii="Arial" w:hAnsi="Arial" w:cs="Arial"/>
                <w:sz w:val="24"/>
                <w:szCs w:val="24"/>
              </w:rPr>
            </w:pPr>
            <w:r w:rsidRPr="002B5DED">
              <w:rPr>
                <w:rFonts w:ascii="Arial" w:hAnsi="Arial" w:cs="Arial"/>
                <w:sz w:val="24"/>
                <w:szCs w:val="24"/>
              </w:rPr>
              <w:t>What might be a reason for the exceptionally low water levels observed in January 2020?</w:t>
            </w: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B8678B" w:rsidRPr="002B5DED" w:rsidRDefault="00B8678B" w:rsidP="00A842B2">
            <w:pPr>
              <w:widowControl w:val="0"/>
              <w:rPr>
                <w:rFonts w:ascii="Arial" w:hAnsi="Arial" w:cs="Arial"/>
                <w:sz w:val="24"/>
                <w:szCs w:val="24"/>
              </w:rPr>
            </w:pPr>
          </w:p>
          <w:p w:rsidR="00B8678B" w:rsidRPr="002B5DED" w:rsidRDefault="00B8678B" w:rsidP="00A842B2">
            <w:pPr>
              <w:widowControl w:val="0"/>
              <w:rPr>
                <w:rFonts w:ascii="Arial" w:hAnsi="Arial" w:cs="Arial"/>
                <w:sz w:val="24"/>
                <w:szCs w:val="24"/>
              </w:rPr>
            </w:pPr>
          </w:p>
          <w:p w:rsidR="00B8678B" w:rsidRPr="002B5DED" w:rsidRDefault="00B8678B"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356CED" w:rsidRPr="002B5DED" w:rsidRDefault="00356CED" w:rsidP="00A842B2">
            <w:pPr>
              <w:widowControl w:val="0"/>
              <w:rPr>
                <w:rFonts w:ascii="Arial" w:hAnsi="Arial" w:cs="Arial"/>
                <w:sz w:val="24"/>
                <w:szCs w:val="24"/>
              </w:rPr>
            </w:pPr>
          </w:p>
          <w:p w:rsidR="007F4576" w:rsidRPr="002B5DED" w:rsidRDefault="007F4576" w:rsidP="007F4576">
            <w:pPr>
              <w:rPr>
                <w:rFonts w:ascii="Arial" w:hAnsi="Arial" w:cs="Arial"/>
                <w:sz w:val="24"/>
                <w:szCs w:val="24"/>
              </w:rPr>
            </w:pPr>
            <w:r w:rsidRPr="002B5DED">
              <w:rPr>
                <w:rFonts w:ascii="Arial" w:hAnsi="Arial" w:cs="Arial"/>
                <w:sz w:val="24"/>
                <w:szCs w:val="24"/>
              </w:rPr>
              <w:t>What types of problems for the city result from both exceptionally high and exceptionally low water levels?</w:t>
            </w: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A842B2" w:rsidRPr="002B5DED" w:rsidRDefault="00A842B2" w:rsidP="005750C4">
            <w:pPr>
              <w:widowControl w:val="0"/>
              <w:rPr>
                <w:rFonts w:ascii="Arial" w:hAnsi="Arial" w:cs="Arial"/>
                <w:sz w:val="24"/>
                <w:szCs w:val="24"/>
              </w:rPr>
            </w:pPr>
          </w:p>
          <w:p w:rsidR="00DF077D" w:rsidRPr="002B5DED" w:rsidRDefault="00DF077D" w:rsidP="005750C4">
            <w:pPr>
              <w:widowControl w:val="0"/>
              <w:rPr>
                <w:rFonts w:ascii="Arial" w:hAnsi="Arial" w:cs="Arial"/>
                <w:sz w:val="24"/>
                <w:szCs w:val="24"/>
              </w:rPr>
            </w:pPr>
          </w:p>
          <w:p w:rsidR="00DF077D" w:rsidRPr="002B5DED" w:rsidRDefault="00DF077D" w:rsidP="005750C4">
            <w:pPr>
              <w:widowControl w:val="0"/>
              <w:rPr>
                <w:rFonts w:ascii="Arial" w:hAnsi="Arial" w:cs="Arial"/>
                <w:sz w:val="24"/>
                <w:szCs w:val="24"/>
              </w:rPr>
            </w:pPr>
          </w:p>
          <w:p w:rsidR="00DF077D" w:rsidRPr="002B5DED" w:rsidRDefault="00DF077D" w:rsidP="005750C4">
            <w:pPr>
              <w:widowControl w:val="0"/>
              <w:rPr>
                <w:rFonts w:ascii="Arial" w:hAnsi="Arial" w:cs="Arial"/>
                <w:sz w:val="24"/>
                <w:szCs w:val="24"/>
              </w:rPr>
            </w:pPr>
          </w:p>
          <w:p w:rsidR="00DF077D" w:rsidRPr="002B5DED" w:rsidRDefault="00DF077D" w:rsidP="005750C4">
            <w:pPr>
              <w:widowControl w:val="0"/>
              <w:rPr>
                <w:rFonts w:ascii="Arial" w:hAnsi="Arial" w:cs="Arial"/>
                <w:sz w:val="24"/>
                <w:szCs w:val="24"/>
              </w:rPr>
            </w:pPr>
          </w:p>
          <w:p w:rsidR="00DF077D" w:rsidRPr="002B5DED" w:rsidRDefault="00DF077D" w:rsidP="005750C4">
            <w:pPr>
              <w:widowControl w:val="0"/>
              <w:rPr>
                <w:rFonts w:ascii="Arial" w:hAnsi="Arial" w:cs="Arial"/>
                <w:sz w:val="24"/>
                <w:szCs w:val="24"/>
              </w:rPr>
            </w:pPr>
          </w:p>
        </w:tc>
        <w:tc>
          <w:tcPr>
            <w:tcW w:w="1921" w:type="dxa"/>
          </w:tcPr>
          <w:p w:rsidR="005B603D" w:rsidRPr="002B5DED" w:rsidRDefault="005B603D" w:rsidP="00A842B2">
            <w:pPr>
              <w:widowControl w:val="0"/>
              <w:rPr>
                <w:rFonts w:ascii="Arial" w:hAnsi="Arial" w:cs="Arial"/>
                <w:sz w:val="24"/>
                <w:szCs w:val="24"/>
              </w:rPr>
            </w:pPr>
            <w:r w:rsidRPr="002B5DED">
              <w:rPr>
                <w:rFonts w:ascii="Arial" w:hAnsi="Arial" w:cs="Arial"/>
                <w:sz w:val="24"/>
                <w:szCs w:val="24"/>
              </w:rPr>
              <w:lastRenderedPageBreak/>
              <w:t>&gt;largest flood event since 1966</w:t>
            </w:r>
          </w:p>
          <w:p w:rsidR="005B603D" w:rsidRPr="002B5DED" w:rsidRDefault="005B603D" w:rsidP="00A842B2">
            <w:pPr>
              <w:widowControl w:val="0"/>
              <w:rPr>
                <w:rFonts w:ascii="Arial" w:hAnsi="Arial" w:cs="Arial"/>
                <w:sz w:val="24"/>
                <w:szCs w:val="24"/>
              </w:rPr>
            </w:pPr>
          </w:p>
          <w:p w:rsidR="005B603D" w:rsidRPr="002B5DED" w:rsidRDefault="00747379" w:rsidP="00A842B2">
            <w:pPr>
              <w:widowControl w:val="0"/>
              <w:rPr>
                <w:rFonts w:ascii="Arial" w:hAnsi="Arial" w:cs="Arial"/>
                <w:sz w:val="24"/>
                <w:szCs w:val="24"/>
              </w:rPr>
            </w:pPr>
            <w:r w:rsidRPr="002B5DED">
              <w:rPr>
                <w:rFonts w:ascii="Arial" w:hAnsi="Arial" w:cs="Arial"/>
                <w:sz w:val="24"/>
                <w:szCs w:val="24"/>
              </w:rPr>
              <w:t>&gt;Around 80</w:t>
            </w:r>
            <w:r w:rsidR="005B603D" w:rsidRPr="002B5DED">
              <w:rPr>
                <w:rFonts w:ascii="Arial" w:hAnsi="Arial" w:cs="Arial"/>
                <w:sz w:val="24"/>
                <w:szCs w:val="24"/>
              </w:rPr>
              <w:t>% of the city’s area flooded</w:t>
            </w: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r w:rsidRPr="002B5DED">
              <w:rPr>
                <w:rFonts w:ascii="Arial" w:hAnsi="Arial" w:cs="Arial"/>
                <w:sz w:val="24"/>
                <w:szCs w:val="24"/>
              </w:rPr>
              <w:t>&gt;the interior of St Mark’</w:t>
            </w:r>
            <w:r w:rsidR="00E74B46" w:rsidRPr="002B5DED">
              <w:rPr>
                <w:rFonts w:ascii="Arial" w:hAnsi="Arial" w:cs="Arial"/>
                <w:sz w:val="24"/>
                <w:szCs w:val="24"/>
              </w:rPr>
              <w:t>s B</w:t>
            </w:r>
            <w:r w:rsidRPr="002B5DED">
              <w:rPr>
                <w:rFonts w:ascii="Arial" w:hAnsi="Arial" w:cs="Arial"/>
                <w:sz w:val="24"/>
                <w:szCs w:val="24"/>
              </w:rPr>
              <w:t>asilica flooded for only the 6</w:t>
            </w:r>
            <w:r w:rsidRPr="002B5DED">
              <w:rPr>
                <w:rFonts w:ascii="Arial" w:hAnsi="Arial" w:cs="Arial"/>
                <w:sz w:val="24"/>
                <w:szCs w:val="24"/>
                <w:vertAlign w:val="superscript"/>
              </w:rPr>
              <w:t>th</w:t>
            </w:r>
            <w:r w:rsidRPr="002B5DED">
              <w:rPr>
                <w:rFonts w:ascii="Arial" w:hAnsi="Arial" w:cs="Arial"/>
                <w:sz w:val="24"/>
                <w:szCs w:val="24"/>
              </w:rPr>
              <w:t xml:space="preserve"> time in its </w:t>
            </w:r>
            <w:r w:rsidR="002B5DED" w:rsidRPr="002B5DED">
              <w:rPr>
                <w:rFonts w:ascii="Arial" w:hAnsi="Arial" w:cs="Arial"/>
                <w:sz w:val="24"/>
                <w:szCs w:val="24"/>
              </w:rPr>
              <w:t>1,200-year</w:t>
            </w:r>
            <w:r w:rsidR="00500647" w:rsidRPr="002B5DED">
              <w:rPr>
                <w:rFonts w:ascii="Arial" w:hAnsi="Arial" w:cs="Arial"/>
                <w:sz w:val="24"/>
                <w:szCs w:val="24"/>
              </w:rPr>
              <w:t xml:space="preserve"> </w:t>
            </w:r>
            <w:r w:rsidRPr="002B5DED">
              <w:rPr>
                <w:rFonts w:ascii="Arial" w:hAnsi="Arial" w:cs="Arial"/>
                <w:sz w:val="24"/>
                <w:szCs w:val="24"/>
              </w:rPr>
              <w:t>history</w:t>
            </w: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5B603D" w:rsidRPr="002B5DED" w:rsidRDefault="00391CEC" w:rsidP="00A842B2">
            <w:pPr>
              <w:widowControl w:val="0"/>
              <w:rPr>
                <w:rFonts w:ascii="Arial" w:hAnsi="Arial" w:cs="Arial"/>
                <w:sz w:val="24"/>
                <w:szCs w:val="24"/>
              </w:rPr>
            </w:pPr>
            <w:r w:rsidRPr="002B5DED">
              <w:rPr>
                <w:rFonts w:ascii="Arial" w:hAnsi="Arial" w:cs="Arial"/>
                <w:sz w:val="24"/>
                <w:szCs w:val="24"/>
              </w:rPr>
              <w:t>&gt;there are direct and indirect causes relating to weather conditions, to human modification of the lagoon, and to climate change and its effects</w:t>
            </w:r>
          </w:p>
          <w:p w:rsidR="005B603D" w:rsidRPr="002B5DED" w:rsidRDefault="005B603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5B603D" w:rsidRPr="002B5DED" w:rsidRDefault="007A3E4D" w:rsidP="00A842B2">
            <w:pPr>
              <w:widowControl w:val="0"/>
              <w:rPr>
                <w:rFonts w:ascii="Arial" w:hAnsi="Arial" w:cs="Arial"/>
                <w:sz w:val="24"/>
                <w:szCs w:val="24"/>
              </w:rPr>
            </w:pPr>
            <w:r w:rsidRPr="002B5DED">
              <w:rPr>
                <w:rFonts w:ascii="Arial" w:hAnsi="Arial" w:cs="Arial"/>
                <w:sz w:val="24"/>
                <w:szCs w:val="24"/>
              </w:rPr>
              <w:t>&gt;The MOSE tidal barrier scheme not operational</w:t>
            </w: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B06171" w:rsidRPr="002B5DED" w:rsidRDefault="00B06171" w:rsidP="00A842B2">
            <w:pPr>
              <w:widowControl w:val="0"/>
              <w:rPr>
                <w:rFonts w:ascii="Arial" w:hAnsi="Arial" w:cs="Arial"/>
                <w:sz w:val="24"/>
                <w:szCs w:val="24"/>
              </w:rPr>
            </w:pPr>
          </w:p>
          <w:p w:rsidR="00E42528" w:rsidRPr="002B5DED" w:rsidRDefault="00E42528" w:rsidP="00A842B2">
            <w:pPr>
              <w:widowControl w:val="0"/>
              <w:rPr>
                <w:rFonts w:ascii="Arial" w:hAnsi="Arial" w:cs="Arial"/>
                <w:sz w:val="24"/>
                <w:szCs w:val="24"/>
              </w:rPr>
            </w:pPr>
          </w:p>
          <w:p w:rsidR="0001379E" w:rsidRDefault="0001379E" w:rsidP="00A842B2">
            <w:pPr>
              <w:widowControl w:val="0"/>
              <w:rPr>
                <w:rFonts w:ascii="Arial" w:hAnsi="Arial" w:cs="Arial"/>
                <w:sz w:val="24"/>
                <w:szCs w:val="24"/>
              </w:rPr>
            </w:pPr>
          </w:p>
          <w:p w:rsidR="0001379E" w:rsidRDefault="0001379E" w:rsidP="00A842B2">
            <w:pPr>
              <w:widowControl w:val="0"/>
              <w:rPr>
                <w:rFonts w:ascii="Arial" w:hAnsi="Arial" w:cs="Arial"/>
                <w:sz w:val="24"/>
                <w:szCs w:val="24"/>
              </w:rPr>
            </w:pPr>
          </w:p>
          <w:p w:rsidR="0001379E" w:rsidRDefault="0001379E" w:rsidP="00A842B2">
            <w:pPr>
              <w:widowControl w:val="0"/>
              <w:rPr>
                <w:rFonts w:ascii="Arial" w:hAnsi="Arial" w:cs="Arial"/>
                <w:sz w:val="24"/>
                <w:szCs w:val="24"/>
              </w:rPr>
            </w:pPr>
          </w:p>
          <w:p w:rsidR="0001379E" w:rsidRDefault="0001379E" w:rsidP="00A842B2">
            <w:pPr>
              <w:widowControl w:val="0"/>
              <w:rPr>
                <w:rFonts w:ascii="Arial" w:hAnsi="Arial" w:cs="Arial"/>
                <w:sz w:val="24"/>
                <w:szCs w:val="24"/>
              </w:rPr>
            </w:pPr>
          </w:p>
          <w:p w:rsidR="005B603D" w:rsidRPr="002B5DED" w:rsidRDefault="00045DFB" w:rsidP="00A842B2">
            <w:pPr>
              <w:widowControl w:val="0"/>
              <w:rPr>
                <w:rFonts w:ascii="Arial" w:hAnsi="Arial" w:cs="Arial"/>
                <w:sz w:val="24"/>
                <w:szCs w:val="24"/>
              </w:rPr>
            </w:pPr>
            <w:r w:rsidRPr="002B5DED">
              <w:rPr>
                <w:rFonts w:ascii="Arial" w:hAnsi="Arial" w:cs="Arial"/>
                <w:sz w:val="24"/>
                <w:szCs w:val="24"/>
              </w:rPr>
              <w:t>&gt;there are numerous economic and social</w:t>
            </w:r>
            <w:r w:rsidR="008F343A" w:rsidRPr="002B5DED">
              <w:rPr>
                <w:rFonts w:ascii="Arial" w:hAnsi="Arial" w:cs="Arial"/>
                <w:sz w:val="24"/>
                <w:szCs w:val="24"/>
              </w:rPr>
              <w:t xml:space="preserve"> impacts, many of which are difficult to quantify</w:t>
            </w:r>
          </w:p>
          <w:p w:rsidR="00E74B46" w:rsidRPr="002B5DED" w:rsidRDefault="00E74B46" w:rsidP="00A842B2">
            <w:pPr>
              <w:widowControl w:val="0"/>
              <w:rPr>
                <w:rFonts w:ascii="Arial" w:hAnsi="Arial" w:cs="Arial"/>
                <w:sz w:val="24"/>
                <w:szCs w:val="24"/>
              </w:rPr>
            </w:pPr>
          </w:p>
          <w:p w:rsidR="007A3E4D" w:rsidRPr="002B5DED" w:rsidRDefault="007A3E4D" w:rsidP="00A842B2">
            <w:pPr>
              <w:widowControl w:val="0"/>
              <w:rPr>
                <w:rFonts w:ascii="Arial" w:hAnsi="Arial" w:cs="Arial"/>
                <w:sz w:val="24"/>
                <w:szCs w:val="24"/>
              </w:rPr>
            </w:pPr>
          </w:p>
          <w:p w:rsidR="00E74B46" w:rsidRPr="002B5DED" w:rsidRDefault="00E74B46" w:rsidP="00A842B2">
            <w:pPr>
              <w:widowControl w:val="0"/>
              <w:rPr>
                <w:rFonts w:ascii="Arial" w:hAnsi="Arial" w:cs="Arial"/>
                <w:sz w:val="24"/>
                <w:szCs w:val="24"/>
              </w:rPr>
            </w:pPr>
            <w:r w:rsidRPr="002B5DED">
              <w:rPr>
                <w:rFonts w:ascii="Arial" w:hAnsi="Arial" w:cs="Arial"/>
                <w:sz w:val="24"/>
                <w:szCs w:val="24"/>
              </w:rPr>
              <w:t>&gt;overall this event was very costly, with estimates of about 1 billion euros</w:t>
            </w:r>
            <w:r w:rsidR="00D06CCD" w:rsidRPr="002B5DED">
              <w:rPr>
                <w:rFonts w:ascii="Arial" w:hAnsi="Arial" w:cs="Arial"/>
                <w:sz w:val="24"/>
                <w:szCs w:val="24"/>
              </w:rPr>
              <w:t xml:space="preserve"> (£850 million)</w:t>
            </w:r>
            <w:r w:rsidRPr="002B5DED">
              <w:rPr>
                <w:rFonts w:ascii="Arial" w:hAnsi="Arial" w:cs="Arial"/>
                <w:sz w:val="24"/>
                <w:szCs w:val="24"/>
              </w:rPr>
              <w:t xml:space="preserve"> of damage</w:t>
            </w:r>
          </w:p>
          <w:p w:rsidR="005B603D" w:rsidRPr="002B5DED" w:rsidRDefault="005B603D" w:rsidP="00A842B2">
            <w:pPr>
              <w:widowControl w:val="0"/>
              <w:rPr>
                <w:rFonts w:ascii="Arial" w:hAnsi="Arial" w:cs="Arial"/>
                <w:sz w:val="24"/>
                <w:szCs w:val="24"/>
              </w:rPr>
            </w:pPr>
          </w:p>
          <w:p w:rsidR="005B603D" w:rsidRPr="002B5DED" w:rsidRDefault="005B603D"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356CED" w:rsidRPr="002B5DED" w:rsidRDefault="00356CED" w:rsidP="00A842B2">
            <w:pPr>
              <w:widowControl w:val="0"/>
              <w:rPr>
                <w:rFonts w:ascii="Arial" w:hAnsi="Arial" w:cs="Arial"/>
                <w:sz w:val="24"/>
                <w:szCs w:val="24"/>
              </w:rPr>
            </w:pPr>
          </w:p>
          <w:p w:rsidR="00D06CCD" w:rsidRPr="002B5DED" w:rsidRDefault="00D06CCD" w:rsidP="00A842B2">
            <w:pPr>
              <w:widowControl w:val="0"/>
              <w:rPr>
                <w:rFonts w:ascii="Arial" w:hAnsi="Arial" w:cs="Arial"/>
                <w:sz w:val="24"/>
                <w:szCs w:val="24"/>
              </w:rPr>
            </w:pPr>
            <w:bookmarkStart w:id="0" w:name="_GoBack"/>
            <w:bookmarkEnd w:id="0"/>
          </w:p>
          <w:p w:rsidR="002F3927" w:rsidRPr="002B5DED" w:rsidRDefault="00045DFB" w:rsidP="00A842B2">
            <w:pPr>
              <w:widowControl w:val="0"/>
              <w:rPr>
                <w:rFonts w:ascii="Arial" w:hAnsi="Arial" w:cs="Arial"/>
                <w:sz w:val="24"/>
                <w:szCs w:val="24"/>
              </w:rPr>
            </w:pPr>
            <w:r w:rsidRPr="002B5DED">
              <w:rPr>
                <w:rFonts w:ascii="Arial" w:hAnsi="Arial" w:cs="Arial"/>
                <w:sz w:val="24"/>
                <w:szCs w:val="24"/>
              </w:rPr>
              <w:t>&gt;Unusual meteorological conditions and human changes to the hydrodynamics of the lagoon</w:t>
            </w: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2F3927" w:rsidRPr="002B5DED" w:rsidRDefault="002F3927"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045DFB" w:rsidRPr="002B5DED" w:rsidRDefault="00045DFB" w:rsidP="00A842B2">
            <w:pPr>
              <w:widowControl w:val="0"/>
              <w:rPr>
                <w:rFonts w:ascii="Arial" w:hAnsi="Arial" w:cs="Arial"/>
                <w:sz w:val="24"/>
                <w:szCs w:val="24"/>
              </w:rPr>
            </w:pPr>
          </w:p>
          <w:p w:rsidR="00B8678B" w:rsidRPr="002B5DED" w:rsidRDefault="00B8678B" w:rsidP="00A842B2">
            <w:pPr>
              <w:widowControl w:val="0"/>
              <w:rPr>
                <w:rFonts w:ascii="Arial" w:hAnsi="Arial" w:cs="Arial"/>
                <w:sz w:val="24"/>
                <w:szCs w:val="24"/>
              </w:rPr>
            </w:pPr>
          </w:p>
          <w:p w:rsidR="00B8678B" w:rsidRPr="002B5DED" w:rsidRDefault="00B8678B" w:rsidP="00A842B2">
            <w:pPr>
              <w:widowControl w:val="0"/>
              <w:rPr>
                <w:rFonts w:ascii="Arial" w:hAnsi="Arial" w:cs="Arial"/>
                <w:sz w:val="24"/>
                <w:szCs w:val="24"/>
              </w:rPr>
            </w:pPr>
          </w:p>
          <w:p w:rsidR="00B8678B" w:rsidRPr="002B5DED" w:rsidRDefault="00B8678B"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567666" w:rsidRPr="002B5DED" w:rsidRDefault="00567666" w:rsidP="00A842B2">
            <w:pPr>
              <w:widowControl w:val="0"/>
              <w:rPr>
                <w:rFonts w:ascii="Arial" w:hAnsi="Arial" w:cs="Arial"/>
                <w:sz w:val="24"/>
                <w:szCs w:val="24"/>
              </w:rPr>
            </w:pPr>
          </w:p>
          <w:p w:rsidR="00356CED" w:rsidRPr="002B5DED" w:rsidRDefault="00356CED"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r w:rsidRPr="002B5DED">
              <w:rPr>
                <w:rFonts w:ascii="Arial" w:hAnsi="Arial" w:cs="Arial"/>
                <w:sz w:val="24"/>
                <w:szCs w:val="24"/>
              </w:rPr>
              <w:t>&gt;transport problems and other disadvantages for residents and tourists</w:t>
            </w: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7F4576" w:rsidRPr="002B5DED" w:rsidRDefault="007F4576" w:rsidP="00A842B2">
            <w:pPr>
              <w:widowControl w:val="0"/>
              <w:rPr>
                <w:rFonts w:ascii="Arial" w:hAnsi="Arial" w:cs="Arial"/>
                <w:sz w:val="24"/>
                <w:szCs w:val="24"/>
              </w:rPr>
            </w:pPr>
          </w:p>
          <w:p w:rsidR="00A842B2" w:rsidRPr="002B5DED" w:rsidRDefault="00A842B2" w:rsidP="005750C4">
            <w:pPr>
              <w:widowControl w:val="0"/>
              <w:rPr>
                <w:rFonts w:ascii="Arial" w:hAnsi="Arial" w:cs="Arial"/>
                <w:sz w:val="24"/>
                <w:szCs w:val="24"/>
              </w:rPr>
            </w:pPr>
          </w:p>
        </w:tc>
        <w:tc>
          <w:tcPr>
            <w:tcW w:w="5048" w:type="dxa"/>
          </w:tcPr>
          <w:p w:rsidR="00E42528" w:rsidRPr="002B5DED" w:rsidRDefault="00E42528" w:rsidP="00A842B2">
            <w:pPr>
              <w:spacing w:after="380"/>
              <w:rPr>
                <w:rFonts w:ascii="Arial" w:hAnsi="Arial" w:cs="Arial"/>
                <w:sz w:val="24"/>
                <w:szCs w:val="24"/>
              </w:rPr>
            </w:pPr>
            <w:r w:rsidRPr="002B5DED">
              <w:rPr>
                <w:rFonts w:ascii="Arial" w:hAnsi="Arial" w:cs="Arial"/>
                <w:sz w:val="24"/>
                <w:szCs w:val="24"/>
              </w:rPr>
              <w:lastRenderedPageBreak/>
              <w:t>The peak water level of +187cm was reached on 12 November 201</w:t>
            </w:r>
            <w:r w:rsidR="008630A2" w:rsidRPr="002B5DED">
              <w:rPr>
                <w:rFonts w:ascii="Arial" w:hAnsi="Arial" w:cs="Arial"/>
                <w:sz w:val="24"/>
                <w:szCs w:val="24"/>
              </w:rPr>
              <w:t>9 at 22:50, and this caused around 80</w:t>
            </w:r>
            <w:r w:rsidRPr="002B5DED">
              <w:rPr>
                <w:rFonts w:ascii="Arial" w:hAnsi="Arial" w:cs="Arial"/>
                <w:sz w:val="24"/>
                <w:szCs w:val="24"/>
              </w:rPr>
              <w:t>% of the city to flood. This is the highest level recorded since 4 November 1966, when the level reached +194cm.</w:t>
            </w:r>
          </w:p>
          <w:p w:rsidR="00E42528" w:rsidRPr="002B5DED" w:rsidRDefault="00E42528" w:rsidP="00A842B2">
            <w:pPr>
              <w:spacing w:after="380"/>
              <w:rPr>
                <w:rFonts w:ascii="Arial" w:hAnsi="Arial" w:cs="Arial"/>
                <w:sz w:val="24"/>
                <w:szCs w:val="24"/>
              </w:rPr>
            </w:pPr>
            <w:r w:rsidRPr="002B5DED">
              <w:rPr>
                <w:rFonts w:ascii="Arial" w:hAnsi="Arial" w:cs="Arial"/>
                <w:sz w:val="24"/>
                <w:szCs w:val="24"/>
              </w:rPr>
              <w:t>The level of +187cm (and the other episodes of high water that occurred on the 13</w:t>
            </w:r>
            <w:r w:rsidRPr="002B5DED">
              <w:rPr>
                <w:rFonts w:ascii="Arial" w:hAnsi="Arial" w:cs="Arial"/>
                <w:sz w:val="24"/>
                <w:szCs w:val="24"/>
                <w:vertAlign w:val="superscript"/>
              </w:rPr>
              <w:t>th</w:t>
            </w:r>
            <w:r w:rsidRPr="002B5DED">
              <w:rPr>
                <w:rFonts w:ascii="Arial" w:hAnsi="Arial" w:cs="Arial"/>
                <w:sz w:val="24"/>
                <w:szCs w:val="24"/>
              </w:rPr>
              <w:t>, 15</w:t>
            </w:r>
            <w:r w:rsidRPr="002B5DED">
              <w:rPr>
                <w:rFonts w:ascii="Arial" w:hAnsi="Arial" w:cs="Arial"/>
                <w:sz w:val="24"/>
                <w:szCs w:val="24"/>
                <w:vertAlign w:val="superscript"/>
              </w:rPr>
              <w:t>th</w:t>
            </w:r>
            <w:r w:rsidRPr="002B5DED">
              <w:rPr>
                <w:rFonts w:ascii="Arial" w:hAnsi="Arial" w:cs="Arial"/>
                <w:sz w:val="24"/>
                <w:szCs w:val="24"/>
              </w:rPr>
              <w:t>, and 17</w:t>
            </w:r>
            <w:r w:rsidRPr="002B5DED">
              <w:rPr>
                <w:rFonts w:ascii="Arial" w:hAnsi="Arial" w:cs="Arial"/>
                <w:sz w:val="24"/>
                <w:szCs w:val="24"/>
                <w:vertAlign w:val="superscript"/>
              </w:rPr>
              <w:t>th</w:t>
            </w:r>
            <w:r w:rsidRPr="002B5DED">
              <w:rPr>
                <w:rFonts w:ascii="Arial" w:hAnsi="Arial" w:cs="Arial"/>
                <w:sz w:val="24"/>
                <w:szCs w:val="24"/>
              </w:rPr>
              <w:t xml:space="preserve"> of November 2019) </w:t>
            </w:r>
            <w:r w:rsidR="00E74B46" w:rsidRPr="002B5DED">
              <w:rPr>
                <w:rFonts w:ascii="Arial" w:hAnsi="Arial" w:cs="Arial"/>
                <w:sz w:val="24"/>
                <w:szCs w:val="24"/>
              </w:rPr>
              <w:t>was very damaging and disruptive for the city.</w:t>
            </w:r>
          </w:p>
          <w:p w:rsidR="005B603D" w:rsidRPr="002B5DED" w:rsidRDefault="00E42528" w:rsidP="00A842B2">
            <w:pPr>
              <w:spacing w:after="380"/>
              <w:rPr>
                <w:rFonts w:ascii="Arial" w:hAnsi="Arial" w:cs="Arial"/>
                <w:sz w:val="24"/>
                <w:szCs w:val="24"/>
              </w:rPr>
            </w:pPr>
            <w:r w:rsidRPr="002B5DED">
              <w:rPr>
                <w:rFonts w:ascii="Arial" w:hAnsi="Arial" w:cs="Arial"/>
                <w:sz w:val="24"/>
                <w:szCs w:val="24"/>
              </w:rPr>
              <w:t>The 12 November level of +187cm is the second highest since modern measurements began in 1872, and over the period of record, there have only been 9</w:t>
            </w:r>
            <w:r w:rsidR="00E74B46" w:rsidRPr="002B5DED">
              <w:rPr>
                <w:rFonts w:ascii="Arial" w:hAnsi="Arial" w:cs="Arial"/>
                <w:sz w:val="24"/>
                <w:szCs w:val="24"/>
              </w:rPr>
              <w:t xml:space="preserve"> times when the water level </w:t>
            </w:r>
            <w:r w:rsidRPr="002B5DED">
              <w:rPr>
                <w:rFonts w:ascii="Arial" w:hAnsi="Arial" w:cs="Arial"/>
                <w:sz w:val="24"/>
                <w:szCs w:val="24"/>
              </w:rPr>
              <w:t>exceeded +150 (equating to over 60% of the city being flooded).</w:t>
            </w:r>
          </w:p>
          <w:p w:rsidR="00391CEC" w:rsidRPr="002B5DED" w:rsidRDefault="00E42528" w:rsidP="00A842B2">
            <w:pPr>
              <w:spacing w:after="380"/>
              <w:rPr>
                <w:rFonts w:ascii="Arial" w:hAnsi="Arial" w:cs="Arial"/>
                <w:sz w:val="24"/>
                <w:szCs w:val="24"/>
              </w:rPr>
            </w:pPr>
            <w:r w:rsidRPr="002B5DED">
              <w:rPr>
                <w:rFonts w:ascii="Arial" w:hAnsi="Arial" w:cs="Arial"/>
                <w:sz w:val="24"/>
                <w:szCs w:val="24"/>
              </w:rPr>
              <w:t>Specific weather conditions and a high spring tide were the direct cause, although</w:t>
            </w:r>
            <w:r w:rsidR="00391CEC" w:rsidRPr="002B5DED">
              <w:rPr>
                <w:rFonts w:ascii="Arial" w:hAnsi="Arial" w:cs="Arial"/>
                <w:sz w:val="24"/>
                <w:szCs w:val="24"/>
              </w:rPr>
              <w:t xml:space="preserve"> there are also indirect causes that increased the probability of an event of this magnitude.</w:t>
            </w:r>
          </w:p>
          <w:p w:rsidR="00E42528" w:rsidRPr="002B5DED" w:rsidRDefault="00391CEC" w:rsidP="00A842B2">
            <w:pPr>
              <w:spacing w:after="380"/>
              <w:rPr>
                <w:rFonts w:ascii="Arial" w:hAnsi="Arial" w:cs="Arial"/>
                <w:sz w:val="24"/>
                <w:szCs w:val="24"/>
              </w:rPr>
            </w:pPr>
            <w:r w:rsidRPr="002B5DED">
              <w:rPr>
                <w:rFonts w:ascii="Arial" w:hAnsi="Arial" w:cs="Arial"/>
                <w:sz w:val="24"/>
                <w:szCs w:val="24"/>
              </w:rPr>
              <w:t>Direct causes include: strong winds (Sirocco winds)</w:t>
            </w:r>
            <w:r w:rsidR="00566446" w:rsidRPr="002B5DED">
              <w:rPr>
                <w:rFonts w:ascii="Arial" w:hAnsi="Arial" w:cs="Arial"/>
                <w:sz w:val="24"/>
                <w:szCs w:val="24"/>
              </w:rPr>
              <w:t xml:space="preserve"> from the south</w:t>
            </w:r>
            <w:r w:rsidRPr="002B5DED">
              <w:rPr>
                <w:rFonts w:ascii="Arial" w:hAnsi="Arial" w:cs="Arial"/>
                <w:sz w:val="24"/>
                <w:szCs w:val="24"/>
              </w:rPr>
              <w:t xml:space="preserve"> pushing water up the Adriatic Sea</w:t>
            </w:r>
            <w:r w:rsidR="00E42528" w:rsidRPr="002B5DED">
              <w:rPr>
                <w:rFonts w:ascii="Arial" w:hAnsi="Arial" w:cs="Arial"/>
                <w:sz w:val="24"/>
                <w:szCs w:val="24"/>
              </w:rPr>
              <w:t xml:space="preserve"> </w:t>
            </w:r>
            <w:r w:rsidRPr="002B5DED">
              <w:rPr>
                <w:rFonts w:ascii="Arial" w:hAnsi="Arial" w:cs="Arial"/>
                <w:sz w:val="24"/>
                <w:szCs w:val="24"/>
              </w:rPr>
              <w:t>towards the Venice lagoon; storm surge a</w:t>
            </w:r>
            <w:r w:rsidR="00566446" w:rsidRPr="002B5DED">
              <w:rPr>
                <w:rFonts w:ascii="Arial" w:hAnsi="Arial" w:cs="Arial"/>
                <w:sz w:val="24"/>
                <w:szCs w:val="24"/>
              </w:rPr>
              <w:t>ssociated with these winds and</w:t>
            </w:r>
            <w:r w:rsidRPr="002B5DED">
              <w:rPr>
                <w:rFonts w:ascii="Arial" w:hAnsi="Arial" w:cs="Arial"/>
                <w:sz w:val="24"/>
                <w:szCs w:val="24"/>
              </w:rPr>
              <w:t xml:space="preserve"> atmospheric low pressure and rainfall, and with a</w:t>
            </w:r>
            <w:r w:rsidR="00B8678B" w:rsidRPr="002B5DED">
              <w:rPr>
                <w:rFonts w:ascii="Arial" w:hAnsi="Arial" w:cs="Arial"/>
                <w:sz w:val="24"/>
                <w:szCs w:val="24"/>
              </w:rPr>
              <w:t>n astronomical</w:t>
            </w:r>
            <w:r w:rsidRPr="002B5DED">
              <w:rPr>
                <w:rFonts w:ascii="Arial" w:hAnsi="Arial" w:cs="Arial"/>
                <w:sz w:val="24"/>
                <w:szCs w:val="24"/>
              </w:rPr>
              <w:t xml:space="preserve"> high spring tide.</w:t>
            </w:r>
          </w:p>
          <w:p w:rsidR="00391CEC" w:rsidRPr="002B5DED" w:rsidRDefault="00391CEC" w:rsidP="00A842B2">
            <w:pPr>
              <w:spacing w:after="380"/>
              <w:rPr>
                <w:rFonts w:ascii="Arial" w:hAnsi="Arial" w:cs="Arial"/>
                <w:sz w:val="24"/>
                <w:szCs w:val="24"/>
              </w:rPr>
            </w:pPr>
            <w:r w:rsidRPr="002B5DED">
              <w:rPr>
                <w:rFonts w:ascii="Arial" w:hAnsi="Arial" w:cs="Arial"/>
                <w:sz w:val="24"/>
                <w:szCs w:val="24"/>
              </w:rPr>
              <w:t>More indirect causes include human modification of the lagoon’s shape and depth profiles (bathymetry) and loss of salt marsh (</w:t>
            </w:r>
            <w:r w:rsidRPr="002B5DED">
              <w:rPr>
                <w:rFonts w:ascii="Arial" w:hAnsi="Arial" w:cs="Arial"/>
                <w:i/>
                <w:sz w:val="24"/>
                <w:szCs w:val="24"/>
              </w:rPr>
              <w:t>barena</w:t>
            </w:r>
            <w:r w:rsidRPr="002B5DED">
              <w:rPr>
                <w:rFonts w:ascii="Arial" w:hAnsi="Arial" w:cs="Arial"/>
                <w:sz w:val="24"/>
                <w:szCs w:val="24"/>
              </w:rPr>
              <w:t>)</w:t>
            </w:r>
            <w:r w:rsidR="007A3E4D" w:rsidRPr="002B5DED">
              <w:rPr>
                <w:rFonts w:ascii="Arial" w:hAnsi="Arial" w:cs="Arial"/>
                <w:sz w:val="24"/>
                <w:szCs w:val="24"/>
              </w:rPr>
              <w:t xml:space="preserve"> which causes</w:t>
            </w:r>
            <w:r w:rsidRPr="002B5DED">
              <w:rPr>
                <w:rFonts w:ascii="Arial" w:hAnsi="Arial" w:cs="Arial"/>
                <w:sz w:val="24"/>
                <w:szCs w:val="24"/>
              </w:rPr>
              <w:t xml:space="preserve"> water to move more quickly between the Adriatic Sea and the lagoon; </w:t>
            </w:r>
            <w:r w:rsidR="00E74B46" w:rsidRPr="002B5DED">
              <w:rPr>
                <w:rFonts w:ascii="Arial" w:hAnsi="Arial" w:cs="Arial"/>
                <w:sz w:val="24"/>
                <w:szCs w:val="24"/>
              </w:rPr>
              <w:t xml:space="preserve">and </w:t>
            </w:r>
            <w:r w:rsidRPr="002B5DED">
              <w:rPr>
                <w:rFonts w:ascii="Arial" w:hAnsi="Arial" w:cs="Arial"/>
                <w:sz w:val="24"/>
                <w:szCs w:val="24"/>
              </w:rPr>
              <w:t xml:space="preserve">sea level rise caused </w:t>
            </w:r>
            <w:r w:rsidR="007A3E4D" w:rsidRPr="002B5DED">
              <w:rPr>
                <w:rFonts w:ascii="Arial" w:hAnsi="Arial" w:cs="Arial"/>
                <w:sz w:val="24"/>
                <w:szCs w:val="24"/>
              </w:rPr>
              <w:t>by climate warming which means storm surges can</w:t>
            </w:r>
            <w:r w:rsidRPr="002B5DED">
              <w:rPr>
                <w:rFonts w:ascii="Arial" w:hAnsi="Arial" w:cs="Arial"/>
                <w:sz w:val="24"/>
                <w:szCs w:val="24"/>
              </w:rPr>
              <w:t xml:space="preserve"> reach higher levels.</w:t>
            </w:r>
            <w:r w:rsidR="00E74B46" w:rsidRPr="002B5DED">
              <w:rPr>
                <w:rFonts w:ascii="Arial" w:hAnsi="Arial" w:cs="Arial"/>
                <w:sz w:val="24"/>
                <w:szCs w:val="24"/>
              </w:rPr>
              <w:t xml:space="preserve"> A period of accelerated city subsidence linked with groundwater abstraction </w:t>
            </w:r>
            <w:r w:rsidR="007A3E4D" w:rsidRPr="002B5DED">
              <w:rPr>
                <w:rFonts w:ascii="Arial" w:hAnsi="Arial" w:cs="Arial"/>
                <w:sz w:val="24"/>
                <w:szCs w:val="24"/>
              </w:rPr>
              <w:t xml:space="preserve">until </w:t>
            </w:r>
            <w:r w:rsidR="00E74B46" w:rsidRPr="002B5DED">
              <w:rPr>
                <w:rFonts w:ascii="Arial" w:hAnsi="Arial" w:cs="Arial"/>
                <w:sz w:val="24"/>
                <w:szCs w:val="24"/>
              </w:rPr>
              <w:t>the 1970s has also increased the probability of such high water events.</w:t>
            </w:r>
            <w:r w:rsidR="00D06CCD" w:rsidRPr="002B5DED">
              <w:rPr>
                <w:rFonts w:ascii="Arial" w:hAnsi="Arial" w:cs="Arial"/>
                <w:sz w:val="24"/>
                <w:szCs w:val="24"/>
              </w:rPr>
              <w:t xml:space="preserve"> MOSE scheme designed to protect against</w:t>
            </w:r>
            <w:r w:rsidR="007A3E4D" w:rsidRPr="002B5DED">
              <w:rPr>
                <w:rFonts w:ascii="Arial" w:hAnsi="Arial" w:cs="Arial"/>
                <w:sz w:val="24"/>
                <w:szCs w:val="24"/>
              </w:rPr>
              <w:t xml:space="preserve"> such events not yet operational </w:t>
            </w:r>
            <w:r w:rsidR="007A3E4D" w:rsidRPr="002B5DED">
              <w:rPr>
                <w:rFonts w:ascii="Arial" w:hAnsi="Arial" w:cs="Arial"/>
                <w:sz w:val="24"/>
                <w:szCs w:val="24"/>
              </w:rPr>
              <w:lastRenderedPageBreak/>
              <w:t>(ov</w:t>
            </w:r>
            <w:r w:rsidR="00747379" w:rsidRPr="002B5DED">
              <w:rPr>
                <w:rFonts w:ascii="Arial" w:hAnsi="Arial" w:cs="Arial"/>
                <w:sz w:val="24"/>
                <w:szCs w:val="24"/>
              </w:rPr>
              <w:t>er-budget and delayed until end of 2021 at the soonest</w:t>
            </w:r>
            <w:r w:rsidR="007A3E4D" w:rsidRPr="002B5DED">
              <w:rPr>
                <w:rFonts w:ascii="Arial" w:hAnsi="Arial" w:cs="Arial"/>
                <w:sz w:val="24"/>
                <w:szCs w:val="24"/>
              </w:rPr>
              <w:t>).</w:t>
            </w:r>
          </w:p>
          <w:p w:rsidR="00B06171" w:rsidRPr="002B5DED" w:rsidRDefault="00B06171" w:rsidP="00B06171">
            <w:pPr>
              <w:pStyle w:val="NormalWeb"/>
              <w:spacing w:before="0" w:beforeAutospacing="0" w:after="0" w:afterAutospacing="0"/>
              <w:textAlignment w:val="baseline"/>
              <w:rPr>
                <w:rFonts w:ascii="Arial" w:hAnsi="Arial" w:cs="Arial"/>
                <w:color w:val="222222"/>
                <w:shd w:val="clear" w:color="auto" w:fill="FFFFFF"/>
              </w:rPr>
            </w:pPr>
            <w:r w:rsidRPr="002B5DED">
              <w:rPr>
                <w:rFonts w:ascii="Arial" w:hAnsi="Arial" w:cs="Arial"/>
                <w:color w:val="222222"/>
                <w:shd w:val="clear" w:color="auto" w:fill="FFFFFF"/>
              </w:rPr>
              <w:t>Human modification of the lagoon has occurred to facilitate shipping</w:t>
            </w:r>
            <w:r w:rsidR="007A3E4D" w:rsidRPr="002B5DED">
              <w:rPr>
                <w:rFonts w:ascii="Arial" w:hAnsi="Arial" w:cs="Arial"/>
                <w:color w:val="222222"/>
                <w:shd w:val="clear" w:color="auto" w:fill="FFFFFF"/>
              </w:rPr>
              <w:t>,</w:t>
            </w:r>
            <w:r w:rsidR="005C7D31" w:rsidRPr="002B5DED">
              <w:rPr>
                <w:rFonts w:ascii="Arial" w:hAnsi="Arial" w:cs="Arial"/>
                <w:color w:val="222222"/>
                <w:shd w:val="clear" w:color="auto" w:fill="FFFFFF"/>
              </w:rPr>
              <w:t xml:space="preserve"> and as a direct result of the ships.</w:t>
            </w:r>
          </w:p>
          <w:p w:rsidR="00B06171" w:rsidRPr="002B5DED" w:rsidRDefault="005C7D31" w:rsidP="00B06171">
            <w:pPr>
              <w:pStyle w:val="NormalWeb"/>
              <w:spacing w:before="0" w:beforeAutospacing="0" w:after="0" w:afterAutospacing="0"/>
              <w:textAlignment w:val="baseline"/>
              <w:rPr>
                <w:rFonts w:ascii="Arial" w:hAnsi="Arial" w:cs="Arial"/>
                <w:color w:val="222222"/>
              </w:rPr>
            </w:pPr>
            <w:r w:rsidRPr="002B5DED">
              <w:rPr>
                <w:rFonts w:ascii="Arial" w:hAnsi="Arial" w:cs="Arial"/>
                <w:color w:val="222222"/>
                <w:shd w:val="clear" w:color="auto" w:fill="FFFFFF"/>
              </w:rPr>
              <w:t>Container and c</w:t>
            </w:r>
            <w:r w:rsidR="00B06171" w:rsidRPr="002B5DED">
              <w:rPr>
                <w:rFonts w:ascii="Arial" w:hAnsi="Arial" w:cs="Arial"/>
                <w:color w:val="222222"/>
                <w:shd w:val="clear" w:color="auto" w:fill="FFFFFF"/>
              </w:rPr>
              <w:t>ruise ships</w:t>
            </w:r>
            <w:r w:rsidRPr="002B5DED">
              <w:rPr>
                <w:rFonts w:ascii="Arial" w:hAnsi="Arial" w:cs="Arial"/>
                <w:color w:val="222222"/>
                <w:shd w:val="clear" w:color="auto" w:fill="FFFFFF"/>
              </w:rPr>
              <w:t>,</w:t>
            </w:r>
            <w:r w:rsidR="00B06171" w:rsidRPr="002B5DED">
              <w:rPr>
                <w:rFonts w:ascii="Arial" w:hAnsi="Arial" w:cs="Arial"/>
                <w:color w:val="222222"/>
                <w:shd w:val="clear" w:color="auto" w:fill="FFFFFF"/>
              </w:rPr>
              <w:t xml:space="preserve"> and</w:t>
            </w:r>
            <w:r w:rsidRPr="002B5DED">
              <w:rPr>
                <w:rFonts w:ascii="Arial" w:hAnsi="Arial" w:cs="Arial"/>
                <w:color w:val="222222"/>
                <w:shd w:val="clear" w:color="auto" w:fill="FFFFFF"/>
              </w:rPr>
              <w:t xml:space="preserve"> other large</w:t>
            </w:r>
            <w:r w:rsidR="00B06171" w:rsidRPr="002B5DED">
              <w:rPr>
                <w:rFonts w:ascii="Arial" w:hAnsi="Arial" w:cs="Arial"/>
                <w:color w:val="222222"/>
                <w:shd w:val="clear" w:color="auto" w:fill="FFFFFF"/>
              </w:rPr>
              <w:t xml:space="preserve"> vessels with motors</w:t>
            </w:r>
            <w:r w:rsidRPr="002B5DED">
              <w:rPr>
                <w:rFonts w:ascii="Arial" w:hAnsi="Arial" w:cs="Arial"/>
                <w:color w:val="222222"/>
                <w:shd w:val="clear" w:color="auto" w:fill="FFFFFF"/>
              </w:rPr>
              <w:t>,</w:t>
            </w:r>
            <w:r w:rsidR="00B06171" w:rsidRPr="002B5DED">
              <w:rPr>
                <w:rFonts w:ascii="Arial" w:hAnsi="Arial" w:cs="Arial"/>
                <w:color w:val="222222"/>
                <w:shd w:val="clear" w:color="auto" w:fill="FFFFFF"/>
              </w:rPr>
              <w:t xml:space="preserve"> increase erosion</w:t>
            </w:r>
            <w:r w:rsidR="00B06171" w:rsidRPr="002B5DED">
              <w:rPr>
                <w:rFonts w:ascii="Arial" w:hAnsi="Arial" w:cs="Arial"/>
                <w:color w:val="222222"/>
              </w:rPr>
              <w:t xml:space="preserve"> through their wake and displacement of water causing:</w:t>
            </w:r>
          </w:p>
          <w:p w:rsidR="00B06171" w:rsidRPr="002B5DED" w:rsidRDefault="00B06171" w:rsidP="007A3E4D">
            <w:pPr>
              <w:pStyle w:val="NormalWeb"/>
              <w:numPr>
                <w:ilvl w:val="0"/>
                <w:numId w:val="8"/>
              </w:numPr>
              <w:spacing w:before="0" w:beforeAutospacing="0" w:after="0" w:afterAutospacing="0"/>
              <w:textAlignment w:val="baseline"/>
              <w:rPr>
                <w:rFonts w:ascii="Arial" w:hAnsi="Arial" w:cs="Arial"/>
                <w:color w:val="222222"/>
                <w:shd w:val="clear" w:color="auto" w:fill="FFFFFF"/>
              </w:rPr>
            </w:pPr>
            <w:r w:rsidRPr="002B5DED">
              <w:rPr>
                <w:rFonts w:ascii="Arial" w:hAnsi="Arial" w:cs="Arial"/>
                <w:color w:val="222222"/>
                <w:shd w:val="clear" w:color="auto" w:fill="FFFFFF"/>
              </w:rPr>
              <w:t>vertical erosion of lagoon’s bed</w:t>
            </w:r>
          </w:p>
          <w:p w:rsidR="00B06171" w:rsidRPr="002B5DED" w:rsidRDefault="00B06171" w:rsidP="007A3E4D">
            <w:pPr>
              <w:pStyle w:val="NormalWeb"/>
              <w:numPr>
                <w:ilvl w:val="0"/>
                <w:numId w:val="8"/>
              </w:numPr>
              <w:spacing w:before="0" w:beforeAutospacing="0" w:after="0" w:afterAutospacing="0"/>
              <w:textAlignment w:val="baseline"/>
              <w:rPr>
                <w:rFonts w:ascii="Arial" w:hAnsi="Arial" w:cs="Arial"/>
                <w:color w:val="222222"/>
                <w:shd w:val="clear" w:color="auto" w:fill="FFFFFF"/>
              </w:rPr>
            </w:pPr>
            <w:r w:rsidRPr="002B5DED">
              <w:rPr>
                <w:rFonts w:ascii="Arial" w:hAnsi="Arial" w:cs="Arial"/>
                <w:color w:val="222222"/>
                <w:shd w:val="clear" w:color="auto" w:fill="FFFFFF"/>
              </w:rPr>
              <w:t>A homogenization of the lagoon’s bed as erosion in some areas causes sediment to accumulate in other areas</w:t>
            </w:r>
          </w:p>
          <w:p w:rsidR="00356CED" w:rsidRPr="002B5DED" w:rsidRDefault="00356CED" w:rsidP="00B06171">
            <w:pPr>
              <w:pStyle w:val="NormalWeb"/>
              <w:spacing w:before="0" w:beforeAutospacing="0" w:after="0" w:afterAutospacing="0"/>
              <w:textAlignment w:val="baseline"/>
              <w:rPr>
                <w:rFonts w:ascii="Arial" w:hAnsi="Arial" w:cs="Arial"/>
                <w:color w:val="222222"/>
                <w:shd w:val="clear" w:color="auto" w:fill="FFFFFF"/>
              </w:rPr>
            </w:pPr>
          </w:p>
          <w:p w:rsidR="005B603D" w:rsidRPr="002B5DED" w:rsidRDefault="00E74B46" w:rsidP="00A842B2">
            <w:pPr>
              <w:spacing w:after="380"/>
              <w:rPr>
                <w:rFonts w:ascii="Arial" w:hAnsi="Arial" w:cs="Arial"/>
                <w:sz w:val="24"/>
                <w:szCs w:val="24"/>
              </w:rPr>
            </w:pPr>
            <w:r w:rsidRPr="002B5DED">
              <w:rPr>
                <w:rFonts w:ascii="Arial" w:hAnsi="Arial" w:cs="Arial"/>
                <w:sz w:val="24"/>
                <w:szCs w:val="24"/>
              </w:rPr>
              <w:t>The level of economic damage has been estimated at about 1 billion euros. In addition to damage</w:t>
            </w:r>
            <w:r w:rsidR="00045DFB" w:rsidRPr="002B5DED">
              <w:rPr>
                <w:rFonts w:ascii="Arial" w:hAnsi="Arial" w:cs="Arial"/>
                <w:sz w:val="24"/>
                <w:szCs w:val="24"/>
              </w:rPr>
              <w:t xml:space="preserve">d </w:t>
            </w:r>
            <w:r w:rsidRPr="002B5DED">
              <w:rPr>
                <w:rFonts w:ascii="Arial" w:hAnsi="Arial" w:cs="Arial"/>
                <w:sz w:val="24"/>
                <w:szCs w:val="24"/>
              </w:rPr>
              <w:t>buildings and infrastructure,</w:t>
            </w:r>
            <w:r w:rsidR="00356CED" w:rsidRPr="002B5DED">
              <w:rPr>
                <w:rFonts w:ascii="Arial" w:hAnsi="Arial" w:cs="Arial"/>
                <w:sz w:val="24"/>
                <w:szCs w:val="24"/>
              </w:rPr>
              <w:t xml:space="preserve"> and the </w:t>
            </w:r>
            <w:r w:rsidR="002B5DED" w:rsidRPr="002B5DED">
              <w:rPr>
                <w:rFonts w:ascii="Arial" w:hAnsi="Arial" w:cs="Arial"/>
                <w:sz w:val="24"/>
                <w:szCs w:val="24"/>
              </w:rPr>
              <w:t>clean-up</w:t>
            </w:r>
            <w:r w:rsidR="00356CED" w:rsidRPr="002B5DED">
              <w:rPr>
                <w:rFonts w:ascii="Arial" w:hAnsi="Arial" w:cs="Arial"/>
                <w:sz w:val="24"/>
                <w:szCs w:val="24"/>
              </w:rPr>
              <w:t xml:space="preserve"> cost,</w:t>
            </w:r>
            <w:r w:rsidRPr="002B5DED">
              <w:rPr>
                <w:rFonts w:ascii="Arial" w:hAnsi="Arial" w:cs="Arial"/>
                <w:sz w:val="24"/>
                <w:szCs w:val="24"/>
              </w:rPr>
              <w:t xml:space="preserve"> there has been damage to cultural treasures such as St Mark’s Basilica. Transport systems were severely disrupted, causing absences from work and lost revenue. Hotel bookings declined by</w:t>
            </w:r>
            <w:r w:rsidR="00D06CCD" w:rsidRPr="002B5DED">
              <w:rPr>
                <w:rFonts w:ascii="Arial" w:hAnsi="Arial" w:cs="Arial"/>
                <w:sz w:val="24"/>
                <w:szCs w:val="24"/>
              </w:rPr>
              <w:t xml:space="preserve"> about</w:t>
            </w:r>
            <w:r w:rsidRPr="002B5DED">
              <w:rPr>
                <w:rFonts w:ascii="Arial" w:hAnsi="Arial" w:cs="Arial"/>
                <w:sz w:val="24"/>
                <w:szCs w:val="24"/>
              </w:rPr>
              <w:t xml:space="preserve"> 40%</w:t>
            </w:r>
            <w:r w:rsidR="00D06CCD" w:rsidRPr="002B5DED">
              <w:rPr>
                <w:rFonts w:ascii="Arial" w:hAnsi="Arial" w:cs="Arial"/>
                <w:sz w:val="24"/>
                <w:szCs w:val="24"/>
              </w:rPr>
              <w:t xml:space="preserve"> </w:t>
            </w:r>
            <w:r w:rsidRPr="002B5DED">
              <w:rPr>
                <w:rFonts w:ascii="Arial" w:hAnsi="Arial" w:cs="Arial"/>
                <w:sz w:val="24"/>
                <w:szCs w:val="24"/>
              </w:rPr>
              <w:t>following the</w:t>
            </w:r>
            <w:r w:rsidR="00D06CCD" w:rsidRPr="002B5DED">
              <w:rPr>
                <w:rFonts w:ascii="Arial" w:hAnsi="Arial" w:cs="Arial"/>
                <w:sz w:val="24"/>
                <w:szCs w:val="24"/>
              </w:rPr>
              <w:t xml:space="preserve"> November 2019</w:t>
            </w:r>
            <w:r w:rsidRPr="002B5DED">
              <w:rPr>
                <w:rFonts w:ascii="Arial" w:hAnsi="Arial" w:cs="Arial"/>
                <w:sz w:val="24"/>
                <w:szCs w:val="24"/>
              </w:rPr>
              <w:t xml:space="preserve"> </w:t>
            </w:r>
            <w:r w:rsidR="00D06CCD" w:rsidRPr="002B5DED">
              <w:rPr>
                <w:rFonts w:ascii="Arial" w:hAnsi="Arial" w:cs="Arial"/>
                <w:sz w:val="24"/>
                <w:szCs w:val="24"/>
              </w:rPr>
              <w:t xml:space="preserve">flooding </w:t>
            </w:r>
            <w:r w:rsidRPr="002B5DED">
              <w:rPr>
                <w:rFonts w:ascii="Arial" w:hAnsi="Arial" w:cs="Arial"/>
                <w:sz w:val="24"/>
                <w:szCs w:val="24"/>
              </w:rPr>
              <w:t>event.</w:t>
            </w:r>
          </w:p>
          <w:p w:rsidR="00045DFB" w:rsidRPr="002B5DED" w:rsidRDefault="00E74B46" w:rsidP="00A842B2">
            <w:pPr>
              <w:spacing w:after="380"/>
              <w:rPr>
                <w:rFonts w:ascii="Arial" w:hAnsi="Arial" w:cs="Arial"/>
                <w:sz w:val="24"/>
                <w:szCs w:val="24"/>
              </w:rPr>
            </w:pPr>
            <w:r w:rsidRPr="002B5DED">
              <w:rPr>
                <w:rFonts w:ascii="Arial" w:hAnsi="Arial" w:cs="Arial"/>
                <w:sz w:val="24"/>
                <w:szCs w:val="24"/>
              </w:rPr>
              <w:t xml:space="preserve">Social impacts include </w:t>
            </w:r>
            <w:r w:rsidR="002F3927" w:rsidRPr="002B5DED">
              <w:rPr>
                <w:rFonts w:ascii="Arial" w:hAnsi="Arial" w:cs="Arial"/>
                <w:sz w:val="24"/>
                <w:szCs w:val="24"/>
              </w:rPr>
              <w:t>the hardship</w:t>
            </w:r>
            <w:r w:rsidR="00045DFB" w:rsidRPr="002B5DED">
              <w:rPr>
                <w:rFonts w:ascii="Arial" w:hAnsi="Arial" w:cs="Arial"/>
                <w:sz w:val="24"/>
                <w:szCs w:val="24"/>
              </w:rPr>
              <w:t>s</w:t>
            </w:r>
            <w:r w:rsidR="002F3927" w:rsidRPr="002B5DED">
              <w:rPr>
                <w:rFonts w:ascii="Arial" w:hAnsi="Arial" w:cs="Arial"/>
                <w:sz w:val="24"/>
                <w:szCs w:val="24"/>
              </w:rPr>
              <w:t xml:space="preserve"> and personal difficulties faced by residents of the historic city and those </w:t>
            </w:r>
            <w:r w:rsidR="00500647" w:rsidRPr="002B5DED">
              <w:rPr>
                <w:rFonts w:ascii="Arial" w:hAnsi="Arial" w:cs="Arial"/>
                <w:sz w:val="24"/>
                <w:szCs w:val="24"/>
              </w:rPr>
              <w:t>who commute to work in the city, and the closure of schools, museums, and other city services.</w:t>
            </w:r>
          </w:p>
          <w:p w:rsidR="00E74B46" w:rsidRPr="002B5DED" w:rsidRDefault="00045DFB" w:rsidP="00A842B2">
            <w:pPr>
              <w:spacing w:after="380"/>
              <w:rPr>
                <w:rFonts w:ascii="Arial" w:hAnsi="Arial" w:cs="Arial"/>
                <w:sz w:val="24"/>
                <w:szCs w:val="24"/>
              </w:rPr>
            </w:pPr>
            <w:r w:rsidRPr="002B5DED">
              <w:rPr>
                <w:rFonts w:ascii="Arial" w:hAnsi="Arial" w:cs="Arial"/>
                <w:sz w:val="24"/>
                <w:szCs w:val="24"/>
              </w:rPr>
              <w:t xml:space="preserve">Those currently residing in the city might now be even more likely to leave the historic city, adding to its problem of a declining resident population. </w:t>
            </w:r>
          </w:p>
          <w:p w:rsidR="005B603D" w:rsidRPr="002B5DED" w:rsidRDefault="00045DFB" w:rsidP="00A842B2">
            <w:pPr>
              <w:spacing w:after="380"/>
              <w:rPr>
                <w:rFonts w:ascii="Arial" w:hAnsi="Arial" w:cs="Arial"/>
                <w:sz w:val="24"/>
                <w:szCs w:val="24"/>
              </w:rPr>
            </w:pPr>
            <w:r w:rsidRPr="002B5DED">
              <w:rPr>
                <w:rFonts w:ascii="Arial" w:hAnsi="Arial" w:cs="Arial"/>
                <w:sz w:val="24"/>
                <w:szCs w:val="24"/>
              </w:rPr>
              <w:t>In January 2020, extremely low water levels occurred which left many canals un-navigable, causing transport disruptions and unsightly conditions.</w:t>
            </w:r>
          </w:p>
          <w:p w:rsidR="00B8678B" w:rsidRPr="002B5DED" w:rsidRDefault="00B8678B" w:rsidP="00A842B2">
            <w:pPr>
              <w:spacing w:after="380"/>
              <w:rPr>
                <w:rFonts w:ascii="Arial" w:hAnsi="Arial" w:cs="Arial"/>
                <w:sz w:val="24"/>
                <w:szCs w:val="24"/>
              </w:rPr>
            </w:pPr>
            <w:r w:rsidRPr="002B5DED">
              <w:rPr>
                <w:rFonts w:ascii="Arial" w:hAnsi="Arial" w:cs="Arial"/>
                <w:sz w:val="24"/>
                <w:szCs w:val="24"/>
              </w:rPr>
              <w:t>Direct causes include weather conditions and a</w:t>
            </w:r>
            <w:r w:rsidR="007F4576" w:rsidRPr="002B5DED">
              <w:rPr>
                <w:rFonts w:ascii="Arial" w:hAnsi="Arial" w:cs="Arial"/>
                <w:sz w:val="24"/>
                <w:szCs w:val="24"/>
              </w:rPr>
              <w:t xml:space="preserve"> low astronomical spring tide.</w:t>
            </w:r>
          </w:p>
          <w:p w:rsidR="00B8678B" w:rsidRPr="002B5DED" w:rsidRDefault="00B8678B" w:rsidP="00A842B2">
            <w:pPr>
              <w:spacing w:after="380"/>
              <w:rPr>
                <w:rFonts w:ascii="Arial" w:hAnsi="Arial" w:cs="Arial"/>
                <w:sz w:val="24"/>
                <w:szCs w:val="24"/>
              </w:rPr>
            </w:pPr>
            <w:r w:rsidRPr="002B5DED">
              <w:rPr>
                <w:rFonts w:ascii="Arial" w:hAnsi="Arial" w:cs="Arial"/>
                <w:sz w:val="24"/>
                <w:szCs w:val="24"/>
              </w:rPr>
              <w:t>Due to human changes in the shape and depth profile</w:t>
            </w:r>
            <w:r w:rsidR="007F4576" w:rsidRPr="002B5DED">
              <w:rPr>
                <w:rFonts w:ascii="Arial" w:hAnsi="Arial" w:cs="Arial"/>
                <w:sz w:val="24"/>
                <w:szCs w:val="24"/>
              </w:rPr>
              <w:t>s across</w:t>
            </w:r>
            <w:r w:rsidRPr="002B5DED">
              <w:rPr>
                <w:rFonts w:ascii="Arial" w:hAnsi="Arial" w:cs="Arial"/>
                <w:sz w:val="24"/>
                <w:szCs w:val="24"/>
              </w:rPr>
              <w:t xml:space="preserve"> the lagoon, water can exchange between the Adriatic Sea and the lagoon of Venice at a faster r</w:t>
            </w:r>
            <w:r w:rsidR="007F4576" w:rsidRPr="002B5DED">
              <w:rPr>
                <w:rFonts w:ascii="Arial" w:hAnsi="Arial" w:cs="Arial"/>
                <w:sz w:val="24"/>
                <w:szCs w:val="24"/>
              </w:rPr>
              <w:t>ate than would occur naturally, so accen</w:t>
            </w:r>
            <w:r w:rsidR="00747379" w:rsidRPr="002B5DED">
              <w:rPr>
                <w:rFonts w:ascii="Arial" w:hAnsi="Arial" w:cs="Arial"/>
                <w:sz w:val="24"/>
                <w:szCs w:val="24"/>
              </w:rPr>
              <w:t>tuating both high and low tides.</w:t>
            </w:r>
          </w:p>
          <w:p w:rsidR="007F4576" w:rsidRPr="002B5DED" w:rsidRDefault="00B8678B" w:rsidP="00A842B2">
            <w:pPr>
              <w:spacing w:after="380"/>
              <w:rPr>
                <w:rFonts w:ascii="Arial" w:hAnsi="Arial" w:cs="Arial"/>
                <w:sz w:val="24"/>
                <w:szCs w:val="24"/>
              </w:rPr>
            </w:pPr>
            <w:r w:rsidRPr="002B5DED">
              <w:rPr>
                <w:rFonts w:ascii="Arial" w:hAnsi="Arial" w:cs="Arial"/>
                <w:sz w:val="24"/>
                <w:szCs w:val="24"/>
              </w:rPr>
              <w:lastRenderedPageBreak/>
              <w:t>This is related both to areas of the lagoon that have been dredged to provide sufficient depth for container ships and cruise ships, and to loss of salt marsh habitat (</w:t>
            </w:r>
            <w:r w:rsidRPr="002B5DED">
              <w:rPr>
                <w:rFonts w:ascii="Arial" w:hAnsi="Arial" w:cs="Arial"/>
                <w:i/>
                <w:sz w:val="24"/>
                <w:szCs w:val="24"/>
              </w:rPr>
              <w:t>barena</w:t>
            </w:r>
            <w:r w:rsidRPr="002B5DED">
              <w:rPr>
                <w:rFonts w:ascii="Arial" w:hAnsi="Arial" w:cs="Arial"/>
                <w:sz w:val="24"/>
                <w:szCs w:val="24"/>
              </w:rPr>
              <w:t>) which would otherwise</w:t>
            </w:r>
            <w:r w:rsidR="007F4576" w:rsidRPr="002B5DED">
              <w:rPr>
                <w:rFonts w:ascii="Arial" w:hAnsi="Arial" w:cs="Arial"/>
                <w:sz w:val="24"/>
                <w:szCs w:val="24"/>
              </w:rPr>
              <w:t xml:space="preserve"> slow the water flow and moderate the range.</w:t>
            </w:r>
            <w:r w:rsidRPr="002B5DED">
              <w:rPr>
                <w:rFonts w:ascii="Arial" w:hAnsi="Arial" w:cs="Arial"/>
                <w:sz w:val="24"/>
                <w:szCs w:val="24"/>
              </w:rPr>
              <w:t xml:space="preserve"> </w:t>
            </w:r>
          </w:p>
          <w:p w:rsidR="00567666" w:rsidRPr="002B5DED" w:rsidRDefault="00567666" w:rsidP="00A842B2">
            <w:pPr>
              <w:spacing w:after="380"/>
              <w:rPr>
                <w:rFonts w:ascii="Arial" w:hAnsi="Arial" w:cs="Arial"/>
                <w:sz w:val="24"/>
                <w:szCs w:val="24"/>
              </w:rPr>
            </w:pPr>
            <w:r w:rsidRPr="002B5DED">
              <w:rPr>
                <w:rFonts w:ascii="Arial" w:hAnsi="Arial" w:cs="Arial"/>
                <w:color w:val="222222"/>
                <w:sz w:val="24"/>
                <w:szCs w:val="24"/>
                <w:shd w:val="clear" w:color="auto" w:fill="FFFFFF"/>
              </w:rPr>
              <w:t>It is estimated that the area of salt marsh within the lagoon has declined from 115 km</w:t>
            </w:r>
            <w:r w:rsidRPr="002B5DED">
              <w:rPr>
                <w:rFonts w:ascii="Arial" w:hAnsi="Arial" w:cs="Arial"/>
                <w:color w:val="222222"/>
                <w:sz w:val="24"/>
                <w:szCs w:val="24"/>
                <w:shd w:val="clear" w:color="auto" w:fill="FFFFFF"/>
                <w:vertAlign w:val="superscript"/>
              </w:rPr>
              <w:t>2</w:t>
            </w:r>
            <w:r w:rsidRPr="002B5DED">
              <w:rPr>
                <w:rFonts w:ascii="Arial" w:hAnsi="Arial" w:cs="Arial"/>
                <w:color w:val="222222"/>
                <w:sz w:val="24"/>
                <w:szCs w:val="24"/>
                <w:shd w:val="clear" w:color="auto" w:fill="FFFFFF"/>
              </w:rPr>
              <w:t xml:space="preserve"> to 33.5 km</w:t>
            </w:r>
            <w:r w:rsidRPr="002B5DED">
              <w:rPr>
                <w:rFonts w:ascii="Arial" w:hAnsi="Arial" w:cs="Arial"/>
                <w:color w:val="222222"/>
                <w:sz w:val="24"/>
                <w:szCs w:val="24"/>
                <w:shd w:val="clear" w:color="auto" w:fill="FFFFFF"/>
                <w:vertAlign w:val="superscript"/>
              </w:rPr>
              <w:t>2</w:t>
            </w:r>
            <w:r w:rsidRPr="002B5DED">
              <w:rPr>
                <w:rFonts w:ascii="Arial" w:hAnsi="Arial" w:cs="Arial"/>
                <w:color w:val="222222"/>
                <w:sz w:val="24"/>
                <w:szCs w:val="24"/>
                <w:shd w:val="clear" w:color="auto" w:fill="FFFFFF"/>
              </w:rPr>
              <w:t xml:space="preserve"> over the course of the last two centuries. Causes include: land reclamation for human use, erosion, pollution, subsidence, and decreased accretion of sediments (Cecconi, 2005).</w:t>
            </w:r>
          </w:p>
          <w:p w:rsidR="00045DFB" w:rsidRPr="002B5DED" w:rsidRDefault="00B8678B" w:rsidP="00A842B2">
            <w:pPr>
              <w:spacing w:after="380"/>
              <w:rPr>
                <w:rFonts w:ascii="Arial" w:hAnsi="Arial" w:cs="Arial"/>
                <w:sz w:val="24"/>
                <w:szCs w:val="24"/>
              </w:rPr>
            </w:pPr>
            <w:r w:rsidRPr="002B5DED">
              <w:rPr>
                <w:rFonts w:ascii="Arial" w:hAnsi="Arial" w:cs="Arial"/>
                <w:sz w:val="24"/>
                <w:szCs w:val="24"/>
              </w:rPr>
              <w:t>The tidal range would be expected to increase if the lagoon of Venice bec</w:t>
            </w:r>
            <w:r w:rsidR="007F4576" w:rsidRPr="002B5DED">
              <w:rPr>
                <w:rFonts w:ascii="Arial" w:hAnsi="Arial" w:cs="Arial"/>
                <w:sz w:val="24"/>
                <w:szCs w:val="24"/>
              </w:rPr>
              <w:t>omes more like a bay of the sea, which is the current trend.</w:t>
            </w:r>
          </w:p>
          <w:p w:rsidR="005B603D" w:rsidRPr="002B5DED" w:rsidRDefault="007F4576" w:rsidP="00A842B2">
            <w:pPr>
              <w:spacing w:after="380"/>
              <w:rPr>
                <w:rFonts w:ascii="Arial" w:hAnsi="Arial" w:cs="Arial"/>
                <w:sz w:val="24"/>
                <w:szCs w:val="24"/>
              </w:rPr>
            </w:pPr>
            <w:r w:rsidRPr="002B5DED">
              <w:rPr>
                <w:rFonts w:ascii="Arial" w:hAnsi="Arial" w:cs="Arial"/>
                <w:sz w:val="24"/>
                <w:szCs w:val="24"/>
              </w:rPr>
              <w:t>Various forms of water transport, such as the water buses (vaporetto) cannot pass under the bridges if the water is too high, and cannot pass through certain canals if the water is too low.</w:t>
            </w:r>
          </w:p>
          <w:p w:rsidR="00A842B2" w:rsidRPr="002B5DED" w:rsidRDefault="007F4576" w:rsidP="007A3E4D">
            <w:pPr>
              <w:spacing w:after="380"/>
              <w:rPr>
                <w:rFonts w:ascii="Arial" w:hAnsi="Arial" w:cs="Arial"/>
                <w:sz w:val="24"/>
                <w:szCs w:val="24"/>
              </w:rPr>
            </w:pPr>
            <w:r w:rsidRPr="002B5DED">
              <w:rPr>
                <w:rFonts w:ascii="Arial" w:hAnsi="Arial" w:cs="Arial"/>
                <w:sz w:val="24"/>
                <w:szCs w:val="24"/>
              </w:rPr>
              <w:t xml:space="preserve">Problems with waste and pollution can occur in both high and </w:t>
            </w:r>
            <w:r w:rsidR="007A3E4D" w:rsidRPr="002B5DED">
              <w:rPr>
                <w:rFonts w:ascii="Arial" w:hAnsi="Arial" w:cs="Arial"/>
                <w:sz w:val="24"/>
                <w:szCs w:val="24"/>
              </w:rPr>
              <w:t>low water situations</w:t>
            </w:r>
            <w:r w:rsidRPr="002B5DED">
              <w:rPr>
                <w:rFonts w:ascii="Arial" w:hAnsi="Arial" w:cs="Arial"/>
                <w:sz w:val="24"/>
                <w:szCs w:val="24"/>
              </w:rPr>
              <w:t>. Flooding can lead to sewage backing up and to the spreading of pollutants across pavement</w:t>
            </w:r>
            <w:r w:rsidR="007A3E4D" w:rsidRPr="002B5DED">
              <w:rPr>
                <w:rFonts w:ascii="Arial" w:hAnsi="Arial" w:cs="Arial"/>
                <w:sz w:val="24"/>
                <w:szCs w:val="24"/>
              </w:rPr>
              <w:t>s</w:t>
            </w:r>
            <w:r w:rsidRPr="002B5DED">
              <w:rPr>
                <w:rFonts w:ascii="Arial" w:hAnsi="Arial" w:cs="Arial"/>
                <w:sz w:val="24"/>
                <w:szCs w:val="24"/>
              </w:rPr>
              <w:t xml:space="preserve"> and into buildings. Low water can expose waste that would otherwis</w:t>
            </w:r>
            <w:r w:rsidR="005750C4" w:rsidRPr="002B5DED">
              <w:rPr>
                <w:rFonts w:ascii="Arial" w:hAnsi="Arial" w:cs="Arial"/>
                <w:sz w:val="24"/>
                <w:szCs w:val="24"/>
              </w:rPr>
              <w:t xml:space="preserve">e not be visible, and cause an unpleasant odour and be unsightly. </w:t>
            </w:r>
          </w:p>
        </w:tc>
      </w:tr>
    </w:tbl>
    <w:p w:rsidR="00B06171" w:rsidRPr="002B5DED" w:rsidRDefault="00B06171" w:rsidP="00273649">
      <w:pPr>
        <w:rPr>
          <w:rFonts w:ascii="Arial" w:hAnsi="Arial" w:cs="Arial"/>
          <w:sz w:val="24"/>
          <w:szCs w:val="24"/>
          <w:highlight w:val="white"/>
        </w:rPr>
      </w:pPr>
    </w:p>
    <w:p w:rsidR="00B06171" w:rsidRPr="002B5DED" w:rsidRDefault="00843BBD" w:rsidP="00273649">
      <w:pPr>
        <w:rPr>
          <w:rFonts w:ascii="Arial" w:hAnsi="Arial" w:cs="Arial"/>
          <w:sz w:val="24"/>
          <w:szCs w:val="24"/>
          <w:highlight w:val="white"/>
        </w:rPr>
      </w:pPr>
      <w:r w:rsidRPr="002B5DED">
        <w:rPr>
          <w:rFonts w:ascii="Arial" w:hAnsi="Arial" w:cs="Arial"/>
          <w:noProof/>
          <w:sz w:val="24"/>
          <w:szCs w:val="24"/>
          <w:highlight w:val="white"/>
          <w:lang w:eastAsia="en-GB"/>
        </w:rPr>
        <w:lastRenderedPageBreak/>
        <w:drawing>
          <wp:inline distT="0" distB="0" distL="0" distR="0" wp14:anchorId="3E409810" wp14:editId="2A77E4AC">
            <wp:extent cx="6624736" cy="4104456"/>
            <wp:effectExtent l="0" t="0" r="508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06171" w:rsidRPr="002B5DED" w:rsidRDefault="00843BBD" w:rsidP="00273649">
      <w:pPr>
        <w:rPr>
          <w:rFonts w:ascii="Arial" w:hAnsi="Arial" w:cs="Arial"/>
          <w:sz w:val="24"/>
          <w:szCs w:val="24"/>
          <w:highlight w:val="white"/>
        </w:rPr>
      </w:pPr>
      <w:r w:rsidRPr="002B5DED">
        <w:rPr>
          <w:rFonts w:ascii="Arial" w:hAnsi="Arial" w:cs="Arial"/>
          <w:sz w:val="24"/>
          <w:szCs w:val="24"/>
          <w:highlight w:val="white"/>
        </w:rPr>
        <w:t>Overview of main trends in the incidence of high tide (</w:t>
      </w:r>
      <w:r w:rsidRPr="002B5DED">
        <w:rPr>
          <w:rFonts w:ascii="Arial" w:hAnsi="Arial" w:cs="Arial"/>
          <w:i/>
          <w:sz w:val="24"/>
          <w:szCs w:val="24"/>
          <w:highlight w:val="white"/>
        </w:rPr>
        <w:t>acqua alta</w:t>
      </w:r>
      <w:r w:rsidRPr="002B5DED">
        <w:rPr>
          <w:rFonts w:ascii="Arial" w:hAnsi="Arial" w:cs="Arial"/>
          <w:sz w:val="24"/>
          <w:szCs w:val="24"/>
          <w:highlight w:val="white"/>
        </w:rPr>
        <w:t>):</w:t>
      </w:r>
    </w:p>
    <w:p w:rsidR="00B06171" w:rsidRPr="002B5DED" w:rsidRDefault="00B06171" w:rsidP="00273649">
      <w:pPr>
        <w:rPr>
          <w:rFonts w:ascii="Arial" w:hAnsi="Arial" w:cs="Arial"/>
          <w:color w:val="000000"/>
          <w:sz w:val="24"/>
          <w:szCs w:val="24"/>
        </w:rPr>
      </w:pPr>
      <w:r w:rsidRPr="002B5DED">
        <w:rPr>
          <w:rFonts w:ascii="Arial" w:hAnsi="Arial" w:cs="Arial"/>
          <w:color w:val="000000"/>
          <w:sz w:val="24"/>
          <w:szCs w:val="24"/>
        </w:rPr>
        <w:t>Of the 10 exceptionally high tides (+140cm from 1897 reference point) recorded in the past hundred years, at least 8 occurred after 1960. Moderately high water (over 80cm above the 1897 reference) is now a much more frequen</w:t>
      </w:r>
      <w:r w:rsidR="00843BBD" w:rsidRPr="002B5DED">
        <w:rPr>
          <w:rFonts w:ascii="Arial" w:hAnsi="Arial" w:cs="Arial"/>
          <w:color w:val="000000"/>
          <w:sz w:val="24"/>
          <w:szCs w:val="24"/>
        </w:rPr>
        <w:t>t occurrence. In the early 20</w:t>
      </w:r>
      <w:r w:rsidR="00843BBD" w:rsidRPr="002B5DED">
        <w:rPr>
          <w:rFonts w:ascii="Arial" w:hAnsi="Arial" w:cs="Arial"/>
          <w:color w:val="000000"/>
          <w:sz w:val="24"/>
          <w:szCs w:val="24"/>
          <w:vertAlign w:val="superscript"/>
        </w:rPr>
        <w:t>th</w:t>
      </w:r>
      <w:r w:rsidR="007A3E4D" w:rsidRPr="002B5DED">
        <w:rPr>
          <w:rFonts w:ascii="Arial" w:hAnsi="Arial" w:cs="Arial"/>
          <w:color w:val="000000"/>
          <w:sz w:val="24"/>
          <w:szCs w:val="24"/>
        </w:rPr>
        <w:t xml:space="preserve"> c</w:t>
      </w:r>
      <w:r w:rsidRPr="002B5DED">
        <w:rPr>
          <w:rFonts w:ascii="Arial" w:hAnsi="Arial" w:cs="Arial"/>
          <w:color w:val="000000"/>
          <w:sz w:val="24"/>
          <w:szCs w:val="24"/>
        </w:rPr>
        <w:t>entury this typically occurred less than 20 times a year. From the 1990s onwards</w:t>
      </w:r>
      <w:r w:rsidR="00843BBD" w:rsidRPr="002B5DED">
        <w:rPr>
          <w:rFonts w:ascii="Arial" w:hAnsi="Arial" w:cs="Arial"/>
          <w:color w:val="000000"/>
          <w:sz w:val="24"/>
          <w:szCs w:val="24"/>
        </w:rPr>
        <w:t>,</w:t>
      </w:r>
      <w:r w:rsidRPr="002B5DED">
        <w:rPr>
          <w:rFonts w:ascii="Arial" w:hAnsi="Arial" w:cs="Arial"/>
          <w:color w:val="000000"/>
          <w:sz w:val="24"/>
          <w:szCs w:val="24"/>
        </w:rPr>
        <w:t xml:space="preserve"> it has often been 80 to 100 times a year.</w:t>
      </w:r>
    </w:p>
    <w:p w:rsidR="00356CED" w:rsidRPr="002B5DED" w:rsidRDefault="00356CED" w:rsidP="00273649">
      <w:pPr>
        <w:rPr>
          <w:rFonts w:ascii="Arial" w:hAnsi="Arial" w:cs="Arial"/>
          <w:color w:val="000000"/>
          <w:sz w:val="24"/>
          <w:szCs w:val="24"/>
        </w:rPr>
      </w:pPr>
      <w:r w:rsidRPr="002B5DED">
        <w:rPr>
          <w:rFonts w:ascii="Arial" w:hAnsi="Arial" w:cs="Arial"/>
          <w:color w:val="000000"/>
          <w:sz w:val="24"/>
          <w:szCs w:val="24"/>
        </w:rPr>
        <w:t xml:space="preserve">An </w:t>
      </w:r>
      <w:r w:rsidRPr="002B5DED">
        <w:rPr>
          <w:rFonts w:ascii="Arial" w:hAnsi="Arial" w:cs="Arial"/>
          <w:i/>
          <w:color w:val="000000"/>
          <w:sz w:val="24"/>
          <w:szCs w:val="24"/>
        </w:rPr>
        <w:t>acqua alta</w:t>
      </w:r>
      <w:r w:rsidRPr="002B5DED">
        <w:rPr>
          <w:rFonts w:ascii="Arial" w:hAnsi="Arial" w:cs="Arial"/>
          <w:color w:val="000000"/>
          <w:sz w:val="24"/>
          <w:szCs w:val="24"/>
        </w:rPr>
        <w:t xml:space="preserve"> (high water flooding) is defined as the tide reaching a level of at least 80cm above an 1897 referen</w:t>
      </w:r>
      <w:r w:rsidR="008630A2" w:rsidRPr="002B5DED">
        <w:rPr>
          <w:rFonts w:ascii="Arial" w:hAnsi="Arial" w:cs="Arial"/>
          <w:color w:val="000000"/>
          <w:sz w:val="24"/>
          <w:szCs w:val="24"/>
        </w:rPr>
        <w:t xml:space="preserve">ce point at Punta della Salute, </w:t>
      </w:r>
      <w:r w:rsidRPr="002B5DED">
        <w:rPr>
          <w:rFonts w:ascii="Arial" w:hAnsi="Arial" w:cs="Arial"/>
          <w:color w:val="000000"/>
          <w:sz w:val="24"/>
          <w:szCs w:val="24"/>
        </w:rPr>
        <w:t>which is in fact just 50cm</w:t>
      </w:r>
      <w:r w:rsidR="008630A2" w:rsidRPr="002B5DED">
        <w:rPr>
          <w:rFonts w:ascii="Arial" w:hAnsi="Arial" w:cs="Arial"/>
          <w:color w:val="000000"/>
          <w:sz w:val="24"/>
          <w:szCs w:val="24"/>
        </w:rPr>
        <w:t xml:space="preserve"> above today’s mean water level. This is due to a combination of sea level rise, natural ground subsidence, and human caused subsidence associated with industrial ground water abstraction until the 1970s</w:t>
      </w:r>
      <w:r w:rsidRPr="002B5DED">
        <w:rPr>
          <w:rFonts w:ascii="Arial" w:hAnsi="Arial" w:cs="Arial"/>
          <w:color w:val="000000"/>
          <w:sz w:val="24"/>
          <w:szCs w:val="24"/>
        </w:rPr>
        <w:t>.</w:t>
      </w:r>
    </w:p>
    <w:p w:rsidR="00356CED" w:rsidRPr="002B5DED" w:rsidRDefault="00356CED" w:rsidP="00273649">
      <w:pPr>
        <w:rPr>
          <w:rFonts w:ascii="Arial" w:hAnsi="Arial" w:cs="Arial"/>
          <w:color w:val="000000"/>
          <w:sz w:val="24"/>
          <w:szCs w:val="24"/>
        </w:rPr>
      </w:pPr>
      <w:r w:rsidRPr="002B5DED">
        <w:rPr>
          <w:rFonts w:ascii="Arial" w:hAnsi="Arial" w:cs="Arial"/>
          <w:color w:val="000000"/>
          <w:sz w:val="24"/>
          <w:szCs w:val="24"/>
        </w:rPr>
        <w:t>‘Intense’ high tide reaches up to 110cm above, ‘very intense’ is up to 120cm above, and ‘exceptional’ is over 140cm.</w:t>
      </w:r>
    </w:p>
    <w:p w:rsidR="000A4707" w:rsidRPr="002B5DED" w:rsidRDefault="000A4707" w:rsidP="00273649">
      <w:pPr>
        <w:rPr>
          <w:rFonts w:ascii="Arial" w:hAnsi="Arial" w:cs="Arial"/>
          <w:color w:val="000000"/>
          <w:sz w:val="24"/>
          <w:szCs w:val="24"/>
        </w:rPr>
      </w:pPr>
      <w:r w:rsidRPr="002B5DED">
        <w:rPr>
          <w:rFonts w:ascii="Arial" w:hAnsi="Arial" w:cs="Arial"/>
          <w:color w:val="000000"/>
          <w:sz w:val="24"/>
          <w:szCs w:val="24"/>
        </w:rPr>
        <w:t>St Mark’s Square and Basilica start to flood when the high tide reaches about 70cm. Very intense high tides (+110cm) flood over 14% Venice and now it is not unusual for this to happen</w:t>
      </w:r>
      <w:r w:rsidR="00905A0D" w:rsidRPr="002B5DED">
        <w:rPr>
          <w:rFonts w:ascii="Arial" w:hAnsi="Arial" w:cs="Arial"/>
          <w:color w:val="000000"/>
          <w:sz w:val="24"/>
          <w:szCs w:val="24"/>
        </w:rPr>
        <w:t xml:space="preserve"> more than</w:t>
      </w:r>
      <w:r w:rsidRPr="002B5DED">
        <w:rPr>
          <w:rFonts w:ascii="Arial" w:hAnsi="Arial" w:cs="Arial"/>
          <w:color w:val="000000"/>
          <w:sz w:val="24"/>
          <w:szCs w:val="24"/>
        </w:rPr>
        <w:t xml:space="preserve"> ten times in a year.</w:t>
      </w:r>
    </w:p>
    <w:p w:rsidR="003911C0" w:rsidRPr="002B5DED" w:rsidRDefault="00E272C5" w:rsidP="00273649">
      <w:pPr>
        <w:rPr>
          <w:rFonts w:ascii="Arial" w:hAnsi="Arial" w:cs="Arial"/>
          <w:sz w:val="24"/>
          <w:szCs w:val="24"/>
          <w:highlight w:val="white"/>
        </w:rPr>
      </w:pPr>
      <w:r w:rsidRPr="002B5DED">
        <w:rPr>
          <w:rFonts w:ascii="Arial" w:hAnsi="Arial" w:cs="Arial"/>
          <w:noProof/>
          <w:sz w:val="24"/>
          <w:szCs w:val="24"/>
          <w:highlight w:val="white"/>
          <w:lang w:eastAsia="en-GB"/>
        </w:rPr>
        <w:lastRenderedPageBreak/>
        <mc:AlternateContent>
          <mc:Choice Requires="wps">
            <w:drawing>
              <wp:anchor distT="0" distB="0" distL="114300" distR="114300" simplePos="0" relativeHeight="251659264" behindDoc="0" locked="0" layoutInCell="1" allowOverlap="1" wp14:anchorId="15B7339E" wp14:editId="3043EE8B">
                <wp:simplePos x="0" y="0"/>
                <wp:positionH relativeFrom="margin">
                  <wp:posOffset>0</wp:posOffset>
                </wp:positionH>
                <wp:positionV relativeFrom="paragraph">
                  <wp:posOffset>3045460</wp:posOffset>
                </wp:positionV>
                <wp:extent cx="3096260" cy="1015365"/>
                <wp:effectExtent l="0" t="0" r="0" b="0"/>
                <wp:wrapNone/>
                <wp:docPr id="5" name="Rectangle 4"/>
                <wp:cNvGraphicFramePr/>
                <a:graphic xmlns:a="http://schemas.openxmlformats.org/drawingml/2006/main">
                  <a:graphicData uri="http://schemas.microsoft.com/office/word/2010/wordprocessingShape">
                    <wps:wsp>
                      <wps:cNvSpPr/>
                      <wps:spPr>
                        <a:xfrm>
                          <a:off x="0" y="0"/>
                          <a:ext cx="3096260" cy="1015365"/>
                        </a:xfrm>
                        <a:prstGeom prst="rect">
                          <a:avLst/>
                        </a:prstGeom>
                      </wps:spPr>
                      <wps:txbx>
                        <w:txbxContent>
                          <w:p w:rsidR="003911C0" w:rsidRPr="00E272C5" w:rsidRDefault="003911C0" w:rsidP="003911C0">
                            <w:pPr>
                              <w:pStyle w:val="NormalWeb"/>
                              <w:spacing w:before="0" w:beforeAutospacing="0" w:after="0" w:afterAutospacing="0"/>
                              <w:rPr>
                                <w:rFonts w:ascii="Arial" w:hAnsi="Arial" w:cs="Arial"/>
                                <w:b/>
                                <w:color w:val="000000" w:themeColor="text1"/>
                                <w:kern w:val="24"/>
                              </w:rPr>
                            </w:pPr>
                            <w:r w:rsidRPr="00E272C5">
                              <w:rPr>
                                <w:rFonts w:ascii="Arial" w:hAnsi="Arial" w:cs="Arial"/>
                                <w:b/>
                                <w:color w:val="000000" w:themeColor="text1"/>
                                <w:kern w:val="24"/>
                              </w:rPr>
                              <w:t>The Punta della Salute tidal gauge station</w:t>
                            </w:r>
                          </w:p>
                          <w:p w:rsidR="003911C0" w:rsidRPr="00E272C5" w:rsidRDefault="003911C0" w:rsidP="003911C0">
                            <w:pPr>
                              <w:pStyle w:val="NormalWeb"/>
                              <w:spacing w:before="0" w:beforeAutospacing="0" w:after="0" w:afterAutospacing="0"/>
                              <w:rPr>
                                <w:rFonts w:ascii="Arial" w:hAnsi="Arial" w:cs="Arial"/>
                              </w:rPr>
                            </w:pPr>
                            <w:r w:rsidRPr="00E272C5">
                              <w:rPr>
                                <w:rFonts w:ascii="Arial" w:hAnsi="Arial" w:cs="Arial"/>
                                <w:color w:val="000000" w:themeColor="text1"/>
                                <w:kern w:val="24"/>
                              </w:rPr>
                              <w:t xml:space="preserve">By L736E at Italian Wikipedia - Transferred from it.wikipedia to Commons., Public Domain, </w:t>
                            </w:r>
                            <w:hyperlink r:id="rId6" w:history="1">
                              <w:r w:rsidRPr="00E272C5">
                                <w:rPr>
                                  <w:rStyle w:val="Hyperlink"/>
                                  <w:rFonts w:ascii="Arial" w:hAnsi="Arial" w:cs="Arial"/>
                                  <w:color w:val="000000" w:themeColor="text1"/>
                                  <w:kern w:val="24"/>
                                </w:rPr>
                                <w:t>https://</w:t>
                              </w:r>
                            </w:hyperlink>
                            <w:hyperlink r:id="rId7" w:history="1">
                              <w:r w:rsidRPr="00E272C5">
                                <w:rPr>
                                  <w:rStyle w:val="Hyperlink"/>
                                  <w:rFonts w:ascii="Arial" w:hAnsi="Arial" w:cs="Arial"/>
                                  <w:color w:val="000000" w:themeColor="text1"/>
                                  <w:kern w:val="24"/>
                                </w:rPr>
                                <w:t>commons.wikimedia.org/w/index.php?curid=36765119</w:t>
                              </w:r>
                            </w:hyperlink>
                            <w:r w:rsidRPr="00E272C5">
                              <w:rPr>
                                <w:rFonts w:ascii="Arial" w:hAnsi="Arial" w:cs="Arial"/>
                                <w:color w:val="000000" w:themeColor="text1"/>
                                <w:kern w:val="24"/>
                              </w:rPr>
                              <w:t xml:space="preserve">   </w:t>
                            </w:r>
                          </w:p>
                        </w:txbxContent>
                      </wps:txbx>
                      <wps:bodyPr wrap="square">
                        <a:spAutoFit/>
                      </wps:bodyPr>
                    </wps:wsp>
                  </a:graphicData>
                </a:graphic>
              </wp:anchor>
            </w:drawing>
          </mc:Choice>
          <mc:Fallback>
            <w:pict>
              <v:rect w14:anchorId="15B7339E" id="Rectangle 4" o:spid="_x0000_s1026" style="position:absolute;margin-left:0;margin-top:239.8pt;width:243.8pt;height:79.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" filled="f" stroked="f">
                <v:textbox style="mso-fit-shape-to-text:t">
                  <w:txbxContent>
                    <w:p w:rsidR="003911C0" w:rsidRPr="00E272C5" w:rsidRDefault="003911C0" w:rsidP="003911C0">
                      <w:pPr>
                        <w:pStyle w:val="NormalWeb"/>
                        <w:spacing w:before="0" w:beforeAutospacing="0" w:after="0" w:afterAutospacing="0"/>
                        <w:rPr>
                          <w:rFonts w:ascii="Arial" w:hAnsi="Arial" w:cs="Arial"/>
                          <w:b/>
                          <w:color w:val="000000" w:themeColor="text1"/>
                          <w:kern w:val="24"/>
                        </w:rPr>
                      </w:pPr>
                      <w:r w:rsidRPr="00E272C5">
                        <w:rPr>
                          <w:rFonts w:ascii="Arial" w:hAnsi="Arial" w:cs="Arial"/>
                          <w:b/>
                          <w:color w:val="000000" w:themeColor="text1"/>
                          <w:kern w:val="24"/>
                        </w:rPr>
                        <w:t>The Punta della Salute tidal gauge station</w:t>
                      </w:r>
                    </w:p>
                    <w:p w:rsidR="003911C0" w:rsidRPr="00E272C5" w:rsidRDefault="003911C0" w:rsidP="003911C0">
                      <w:pPr>
                        <w:pStyle w:val="NormalWeb"/>
                        <w:spacing w:before="0" w:beforeAutospacing="0" w:after="0" w:afterAutospacing="0"/>
                        <w:rPr>
                          <w:rFonts w:ascii="Arial" w:hAnsi="Arial" w:cs="Arial"/>
                        </w:rPr>
                      </w:pPr>
                      <w:r w:rsidRPr="00E272C5">
                        <w:rPr>
                          <w:rFonts w:ascii="Arial" w:hAnsi="Arial" w:cs="Arial"/>
                          <w:color w:val="000000" w:themeColor="text1"/>
                          <w:kern w:val="24"/>
                        </w:rPr>
                        <w:t xml:space="preserve">By L736E at Italian Wikipedia - Transferred from it.wikipedia to Commons., Public Domain, </w:t>
                      </w:r>
                      <w:hyperlink r:id="rId8" w:history="1">
                        <w:r w:rsidRPr="00E272C5">
                          <w:rPr>
                            <w:rStyle w:val="Hyperlink"/>
                            <w:rFonts w:ascii="Arial" w:hAnsi="Arial" w:cs="Arial"/>
                            <w:color w:val="000000" w:themeColor="text1"/>
                            <w:kern w:val="24"/>
                          </w:rPr>
                          <w:t>https://</w:t>
                        </w:r>
                      </w:hyperlink>
                      <w:hyperlink r:id="rId9" w:history="1">
                        <w:r w:rsidRPr="00E272C5">
                          <w:rPr>
                            <w:rStyle w:val="Hyperlink"/>
                            <w:rFonts w:ascii="Arial" w:hAnsi="Arial" w:cs="Arial"/>
                            <w:color w:val="000000" w:themeColor="text1"/>
                            <w:kern w:val="24"/>
                          </w:rPr>
                          <w:t>commons.wikimedia.org/w/index.php?curid=36765119</w:t>
                        </w:r>
                      </w:hyperlink>
                      <w:r w:rsidRPr="00E272C5">
                        <w:rPr>
                          <w:rFonts w:ascii="Arial" w:hAnsi="Arial" w:cs="Arial"/>
                          <w:color w:val="000000" w:themeColor="text1"/>
                          <w:kern w:val="24"/>
                        </w:rPr>
                        <w:t xml:space="preserve">   </w:t>
                      </w:r>
                    </w:p>
                  </w:txbxContent>
                </v:textbox>
                <w10:wrap anchorx="margin"/>
              </v:rect>
            </w:pict>
          </mc:Fallback>
        </mc:AlternateContent>
      </w:r>
      <w:r w:rsidR="003911C0" w:rsidRPr="002B5DED">
        <w:rPr>
          <w:rFonts w:ascii="Arial" w:hAnsi="Arial" w:cs="Arial"/>
          <w:noProof/>
          <w:sz w:val="24"/>
          <w:szCs w:val="24"/>
          <w:highlight w:val="white"/>
          <w:lang w:eastAsia="en-GB"/>
        </w:rPr>
        <w:drawing>
          <wp:inline distT="0" distB="0" distL="0" distR="0" wp14:anchorId="53E54B04" wp14:editId="1E7BB18C">
            <wp:extent cx="2210461" cy="29527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3816" cy="2957232"/>
                    </a:xfrm>
                    <a:prstGeom prst="rect">
                      <a:avLst/>
                    </a:prstGeom>
                  </pic:spPr>
                </pic:pic>
              </a:graphicData>
            </a:graphic>
          </wp:inline>
        </w:drawing>
      </w:r>
    </w:p>
    <w:p w:rsidR="00B06171" w:rsidRPr="002B5DED" w:rsidRDefault="00B06171" w:rsidP="00273649">
      <w:pPr>
        <w:rPr>
          <w:rFonts w:ascii="Arial" w:hAnsi="Arial" w:cs="Arial"/>
          <w:sz w:val="24"/>
          <w:szCs w:val="24"/>
          <w:highlight w:val="white"/>
        </w:rPr>
      </w:pPr>
    </w:p>
    <w:p w:rsidR="003911C0" w:rsidRPr="002B5DED" w:rsidRDefault="003911C0" w:rsidP="00273649">
      <w:pPr>
        <w:rPr>
          <w:rFonts w:ascii="Arial" w:hAnsi="Arial" w:cs="Arial"/>
          <w:sz w:val="24"/>
          <w:szCs w:val="24"/>
          <w:highlight w:val="white"/>
        </w:rPr>
      </w:pPr>
    </w:p>
    <w:p w:rsidR="003911C0" w:rsidRPr="002B5DED" w:rsidRDefault="003911C0" w:rsidP="00273649">
      <w:pPr>
        <w:rPr>
          <w:rFonts w:ascii="Arial" w:hAnsi="Arial" w:cs="Arial"/>
          <w:sz w:val="24"/>
          <w:szCs w:val="24"/>
          <w:highlight w:val="white"/>
        </w:rPr>
      </w:pPr>
    </w:p>
    <w:p w:rsidR="003911C0" w:rsidRPr="002B5DED" w:rsidRDefault="003911C0" w:rsidP="00273649">
      <w:pPr>
        <w:rPr>
          <w:rFonts w:ascii="Arial" w:hAnsi="Arial" w:cs="Arial"/>
          <w:sz w:val="24"/>
          <w:szCs w:val="24"/>
          <w:highlight w:val="white"/>
        </w:rPr>
      </w:pPr>
    </w:p>
    <w:p w:rsidR="003911C0" w:rsidRPr="002B5DED" w:rsidRDefault="008630A2" w:rsidP="00273649">
      <w:pPr>
        <w:rPr>
          <w:rFonts w:ascii="Arial" w:hAnsi="Arial" w:cs="Arial"/>
          <w:sz w:val="24"/>
          <w:szCs w:val="24"/>
          <w:highlight w:val="white"/>
        </w:rPr>
      </w:pPr>
      <w:r w:rsidRPr="002B5DED">
        <w:rPr>
          <w:rFonts w:ascii="Arial" w:hAnsi="Arial" w:cs="Arial"/>
          <w:noProof/>
          <w:sz w:val="24"/>
          <w:szCs w:val="24"/>
          <w:highlight w:val="white"/>
          <w:lang w:eastAsia="en-GB"/>
        </w:rPr>
        <w:drawing>
          <wp:inline distT="0" distB="0" distL="0" distR="0" wp14:anchorId="00C11F30" wp14:editId="0BD61EA0">
            <wp:extent cx="2355850" cy="2849819"/>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srcRect l="14914" t="26200" r="57892" b="21301"/>
                    <a:stretch/>
                  </pic:blipFill>
                  <pic:spPr>
                    <a:xfrm>
                      <a:off x="0" y="0"/>
                      <a:ext cx="2357767" cy="2852137"/>
                    </a:xfrm>
                    <a:prstGeom prst="rect">
                      <a:avLst/>
                    </a:prstGeom>
                  </pic:spPr>
                </pic:pic>
              </a:graphicData>
            </a:graphic>
          </wp:inline>
        </w:drawing>
      </w:r>
    </w:p>
    <w:p w:rsidR="008630A2" w:rsidRPr="002B5DED" w:rsidRDefault="0001379E" w:rsidP="00273649">
      <w:pPr>
        <w:rPr>
          <w:rFonts w:ascii="Arial" w:hAnsi="Arial" w:cs="Arial"/>
          <w:sz w:val="24"/>
          <w:szCs w:val="24"/>
          <w:highlight w:val="white"/>
        </w:rPr>
      </w:pPr>
      <w:hyperlink r:id="rId12" w:history="1">
        <w:r w:rsidR="008630A2" w:rsidRPr="002B5DED">
          <w:rPr>
            <w:rStyle w:val="Hyperlink"/>
            <w:rFonts w:ascii="Arial" w:hAnsi="Arial" w:cs="Arial"/>
            <w:sz w:val="24"/>
            <w:szCs w:val="24"/>
          </w:rPr>
          <w:t>https://en.wikipedia.org/wiki/Acqua_alta</w:t>
        </w:r>
      </w:hyperlink>
      <w:r w:rsidR="008630A2" w:rsidRPr="002B5DED">
        <w:rPr>
          <w:rFonts w:ascii="Arial" w:hAnsi="Arial" w:cs="Arial"/>
          <w:sz w:val="24"/>
          <w:szCs w:val="24"/>
        </w:rPr>
        <w:t xml:space="preserve"> </w:t>
      </w:r>
    </w:p>
    <w:p w:rsidR="00D06CCD" w:rsidRPr="002B5DED" w:rsidRDefault="002B5DED" w:rsidP="00D06CCD">
      <w:pPr>
        <w:rPr>
          <w:rFonts w:ascii="Arial" w:hAnsi="Arial" w:cs="Arial"/>
          <w:sz w:val="24"/>
          <w:szCs w:val="24"/>
        </w:rPr>
      </w:pPr>
      <w:r>
        <w:rPr>
          <w:rFonts w:ascii="Arial" w:hAnsi="Arial" w:cs="Arial"/>
          <w:sz w:val="24"/>
          <w:szCs w:val="24"/>
          <w:highlight w:val="white"/>
        </w:rPr>
        <w:t>Other Sources</w:t>
      </w:r>
      <w:r w:rsidR="00273649" w:rsidRPr="002B5DED">
        <w:rPr>
          <w:rFonts w:ascii="Arial" w:hAnsi="Arial" w:cs="Arial"/>
          <w:sz w:val="24"/>
          <w:szCs w:val="24"/>
          <w:highlight w:val="white"/>
        </w:rPr>
        <w:t>:</w:t>
      </w:r>
    </w:p>
    <w:p w:rsidR="00D06CCD" w:rsidRPr="002B5DED" w:rsidRDefault="0001379E" w:rsidP="00B41582">
      <w:pPr>
        <w:spacing w:line="240" w:lineRule="auto"/>
        <w:rPr>
          <w:rFonts w:ascii="Arial" w:hAnsi="Arial" w:cs="Arial"/>
          <w:sz w:val="24"/>
          <w:szCs w:val="24"/>
        </w:rPr>
      </w:pPr>
      <w:hyperlink r:id="rId13" w:history="1">
        <w:r w:rsidR="00D06CCD" w:rsidRPr="002B5DED">
          <w:rPr>
            <w:rStyle w:val="Hyperlink"/>
            <w:rFonts w:ascii="Arial" w:hAnsi="Arial" w:cs="Arial"/>
            <w:sz w:val="24"/>
            <w:szCs w:val="24"/>
          </w:rPr>
          <w:t>https://www.bbc.co.uk/news/world-europe-50401308</w:t>
        </w:r>
      </w:hyperlink>
      <w:r w:rsidR="00D06CCD" w:rsidRPr="002B5DED">
        <w:rPr>
          <w:rFonts w:ascii="Arial" w:hAnsi="Arial" w:cs="Arial"/>
          <w:sz w:val="24"/>
          <w:szCs w:val="24"/>
        </w:rPr>
        <w:t xml:space="preserve"> </w:t>
      </w:r>
    </w:p>
    <w:p w:rsidR="00D06CCD" w:rsidRPr="002B5DED" w:rsidRDefault="0001379E" w:rsidP="00B41582">
      <w:pPr>
        <w:spacing w:line="240" w:lineRule="auto"/>
        <w:rPr>
          <w:rFonts w:ascii="Arial" w:hAnsi="Arial" w:cs="Arial"/>
          <w:sz w:val="24"/>
          <w:szCs w:val="24"/>
        </w:rPr>
      </w:pPr>
      <w:hyperlink r:id="rId14" w:history="1">
        <w:r w:rsidR="00D06CCD" w:rsidRPr="002B5DED">
          <w:rPr>
            <w:rStyle w:val="Hyperlink"/>
            <w:rFonts w:ascii="Arial" w:hAnsi="Arial" w:cs="Arial"/>
            <w:sz w:val="24"/>
            <w:szCs w:val="24"/>
          </w:rPr>
          <w:t>https://www.bbc.co.uk/news/world-europe-51098129</w:t>
        </w:r>
      </w:hyperlink>
    </w:p>
    <w:p w:rsidR="00D06CCD" w:rsidRPr="002B5DED" w:rsidRDefault="0001379E" w:rsidP="00B41582">
      <w:pPr>
        <w:spacing w:line="240" w:lineRule="auto"/>
        <w:rPr>
          <w:rFonts w:ascii="Arial" w:hAnsi="Arial" w:cs="Arial"/>
          <w:sz w:val="24"/>
          <w:szCs w:val="24"/>
        </w:rPr>
      </w:pPr>
      <w:hyperlink r:id="rId15" w:history="1">
        <w:r w:rsidR="00D06CCD" w:rsidRPr="002B5DED">
          <w:rPr>
            <w:rStyle w:val="Hyperlink"/>
            <w:rFonts w:ascii="Arial" w:hAnsi="Arial" w:cs="Arial"/>
            <w:sz w:val="24"/>
            <w:szCs w:val="24"/>
          </w:rPr>
          <w:t>https://news.sky.com/story/venice-canals-almost-run-dry-just-two-months-after-flooding-11907106</w:t>
        </w:r>
      </w:hyperlink>
      <w:r w:rsidR="00D06CCD" w:rsidRPr="002B5DED">
        <w:rPr>
          <w:rFonts w:ascii="Arial" w:hAnsi="Arial" w:cs="Arial"/>
          <w:sz w:val="24"/>
          <w:szCs w:val="24"/>
        </w:rPr>
        <w:t xml:space="preserve"> </w:t>
      </w:r>
    </w:p>
    <w:p w:rsidR="005750C4" w:rsidRPr="002B5DED" w:rsidRDefault="0001379E" w:rsidP="00B41582">
      <w:pPr>
        <w:spacing w:line="240" w:lineRule="auto"/>
        <w:rPr>
          <w:rFonts w:ascii="Arial" w:hAnsi="Arial" w:cs="Arial"/>
          <w:sz w:val="24"/>
          <w:szCs w:val="24"/>
        </w:rPr>
      </w:pPr>
      <w:hyperlink r:id="rId16" w:history="1">
        <w:r w:rsidR="005750C4" w:rsidRPr="002B5DED">
          <w:rPr>
            <w:rStyle w:val="Hyperlink"/>
            <w:rFonts w:ascii="Arial" w:hAnsi="Arial" w:cs="Arial"/>
            <w:sz w:val="24"/>
            <w:szCs w:val="24"/>
          </w:rPr>
          <w:t>https://www.comune.venezia.it/it/content/grafici-e-statistiche</w:t>
        </w:r>
      </w:hyperlink>
      <w:r w:rsidR="005750C4" w:rsidRPr="002B5DED">
        <w:rPr>
          <w:rFonts w:ascii="Arial" w:hAnsi="Arial" w:cs="Arial"/>
          <w:sz w:val="24"/>
          <w:szCs w:val="24"/>
        </w:rPr>
        <w:t xml:space="preserve"> (high water tide gauge data)</w:t>
      </w:r>
    </w:p>
    <w:p w:rsidR="005750C4" w:rsidRPr="002B5DED" w:rsidRDefault="00B06171" w:rsidP="00B41582">
      <w:pPr>
        <w:spacing w:line="240" w:lineRule="auto"/>
        <w:rPr>
          <w:rFonts w:ascii="Arial" w:hAnsi="Arial" w:cs="Arial"/>
          <w:sz w:val="24"/>
          <w:szCs w:val="24"/>
        </w:rPr>
      </w:pPr>
      <w:r w:rsidRPr="002B5DED">
        <w:rPr>
          <w:rFonts w:ascii="Arial" w:hAnsi="Arial" w:cs="Arial"/>
          <w:sz w:val="24"/>
          <w:szCs w:val="24"/>
        </w:rPr>
        <w:t xml:space="preserve">Cecconi, 2005 in Flooding and Environmental Challenges for Venice and its Lagoon: State of Knowledge (C.A. Fletcher and </w:t>
      </w:r>
      <w:r w:rsidR="002B5DED" w:rsidRPr="002B5DED">
        <w:rPr>
          <w:rFonts w:ascii="Arial" w:hAnsi="Arial" w:cs="Arial"/>
          <w:sz w:val="24"/>
          <w:szCs w:val="24"/>
        </w:rPr>
        <w:t>T. Spencer</w:t>
      </w:r>
      <w:r w:rsidRPr="002B5DED">
        <w:rPr>
          <w:rFonts w:ascii="Arial" w:hAnsi="Arial" w:cs="Arial"/>
          <w:sz w:val="24"/>
          <w:szCs w:val="24"/>
        </w:rPr>
        <w:t>, eds.) CUP</w:t>
      </w:r>
    </w:p>
    <w:sectPr w:rsidR="005750C4" w:rsidRPr="002B5DED" w:rsidSect="00A842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30D"/>
    <w:multiLevelType w:val="multilevel"/>
    <w:tmpl w:val="342E5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2496E"/>
    <w:multiLevelType w:val="hybridMultilevel"/>
    <w:tmpl w:val="9AE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82BE3"/>
    <w:multiLevelType w:val="multilevel"/>
    <w:tmpl w:val="9E2A3E86"/>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 w15:restartNumberingAfterBreak="0">
    <w:nsid w:val="23314AE6"/>
    <w:multiLevelType w:val="multilevel"/>
    <w:tmpl w:val="530A116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3EB57133"/>
    <w:multiLevelType w:val="hybridMultilevel"/>
    <w:tmpl w:val="9F0E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9324F"/>
    <w:multiLevelType w:val="hybridMultilevel"/>
    <w:tmpl w:val="9AE0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B41A4"/>
    <w:multiLevelType w:val="multilevel"/>
    <w:tmpl w:val="E2E407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3"/>
  </w:num>
  <w:num w:numId="2">
    <w:abstractNumId w:val="6"/>
  </w:num>
  <w:num w:numId="3">
    <w:abstractNumId w:val="2"/>
  </w:num>
  <w:num w:numId="4">
    <w:abstractNumId w:val="5"/>
  </w:num>
  <w:num w:numId="5">
    <w:abstractNumId w:val="4"/>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B2"/>
    <w:rsid w:val="0001379E"/>
    <w:rsid w:val="00045DFB"/>
    <w:rsid w:val="000A4707"/>
    <w:rsid w:val="001F3CC1"/>
    <w:rsid w:val="00273649"/>
    <w:rsid w:val="002B5DED"/>
    <w:rsid w:val="002D509B"/>
    <w:rsid w:val="002F3927"/>
    <w:rsid w:val="0032205D"/>
    <w:rsid w:val="00356CED"/>
    <w:rsid w:val="003911C0"/>
    <w:rsid w:val="00391CEC"/>
    <w:rsid w:val="003C62CA"/>
    <w:rsid w:val="003D5171"/>
    <w:rsid w:val="003F7AB0"/>
    <w:rsid w:val="004A0182"/>
    <w:rsid w:val="004D6FE2"/>
    <w:rsid w:val="00500647"/>
    <w:rsid w:val="00566446"/>
    <w:rsid w:val="00567666"/>
    <w:rsid w:val="005750C4"/>
    <w:rsid w:val="005B1EDB"/>
    <w:rsid w:val="005B603D"/>
    <w:rsid w:val="005C7D31"/>
    <w:rsid w:val="005E0491"/>
    <w:rsid w:val="00601EDB"/>
    <w:rsid w:val="00622DCC"/>
    <w:rsid w:val="006406DF"/>
    <w:rsid w:val="00747379"/>
    <w:rsid w:val="007A3E4D"/>
    <w:rsid w:val="007F4576"/>
    <w:rsid w:val="00843BBD"/>
    <w:rsid w:val="00855AC9"/>
    <w:rsid w:val="008630A2"/>
    <w:rsid w:val="008F343A"/>
    <w:rsid w:val="00905A0D"/>
    <w:rsid w:val="00984273"/>
    <w:rsid w:val="009C5CE3"/>
    <w:rsid w:val="00A70CFE"/>
    <w:rsid w:val="00A842B2"/>
    <w:rsid w:val="00A96C90"/>
    <w:rsid w:val="00AB77FC"/>
    <w:rsid w:val="00AF3DCF"/>
    <w:rsid w:val="00B05C2F"/>
    <w:rsid w:val="00B06171"/>
    <w:rsid w:val="00B23626"/>
    <w:rsid w:val="00B41582"/>
    <w:rsid w:val="00B8678B"/>
    <w:rsid w:val="00BB56E6"/>
    <w:rsid w:val="00BF1EC1"/>
    <w:rsid w:val="00BF3642"/>
    <w:rsid w:val="00C03849"/>
    <w:rsid w:val="00C37190"/>
    <w:rsid w:val="00C60EC8"/>
    <w:rsid w:val="00C921ED"/>
    <w:rsid w:val="00D06CCD"/>
    <w:rsid w:val="00D61955"/>
    <w:rsid w:val="00D85498"/>
    <w:rsid w:val="00DF077D"/>
    <w:rsid w:val="00E272C5"/>
    <w:rsid w:val="00E42528"/>
    <w:rsid w:val="00E62236"/>
    <w:rsid w:val="00E74B46"/>
    <w:rsid w:val="00F1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1568"/>
  <w15:docId w15:val="{4BE3A1C8-86AE-483D-AA82-E82F55E0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36"/>
    <w:rPr>
      <w:rFonts w:ascii="Tahoma" w:hAnsi="Tahoma" w:cs="Tahoma"/>
      <w:sz w:val="16"/>
      <w:szCs w:val="16"/>
    </w:rPr>
  </w:style>
  <w:style w:type="character" w:styleId="Hyperlink">
    <w:name w:val="Hyperlink"/>
    <w:basedOn w:val="DefaultParagraphFont"/>
    <w:uiPriority w:val="99"/>
    <w:unhideWhenUsed/>
    <w:rsid w:val="00B23626"/>
    <w:rPr>
      <w:color w:val="0000FF" w:themeColor="hyperlink"/>
      <w:u w:val="single"/>
    </w:rPr>
  </w:style>
  <w:style w:type="paragraph" w:styleId="ListParagraph">
    <w:name w:val="List Paragraph"/>
    <w:basedOn w:val="Normal"/>
    <w:uiPriority w:val="34"/>
    <w:qFormat/>
    <w:rsid w:val="00BF3642"/>
    <w:pPr>
      <w:ind w:left="720"/>
      <w:contextualSpacing/>
    </w:pPr>
  </w:style>
  <w:style w:type="paragraph" w:styleId="NormalWeb">
    <w:name w:val="Normal (Web)"/>
    <w:basedOn w:val="Normal"/>
    <w:uiPriority w:val="99"/>
    <w:semiHidden/>
    <w:unhideWhenUsed/>
    <w:rsid w:val="00B061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36765119" TargetMode="External"/><Relationship Id="rId13" Type="http://schemas.openxmlformats.org/officeDocument/2006/relationships/hyperlink" Target="https://www.bbc.co.uk/news/world-europe-504013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ons.wikimedia.org/w/index.php?curid=36765119" TargetMode="External"/><Relationship Id="rId12" Type="http://schemas.openxmlformats.org/officeDocument/2006/relationships/hyperlink" Target="https://en.wikipedia.org/wiki/Acqua_al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mune.venezia.it/it/content/grafici-e-statistiche" TargetMode="External"/><Relationship Id="rId1" Type="http://schemas.openxmlformats.org/officeDocument/2006/relationships/numbering" Target="numbering.xml"/><Relationship Id="rId6" Type="http://schemas.openxmlformats.org/officeDocument/2006/relationships/hyperlink" Target="https://commons.wikimedia.org/w/index.php?curid=36765119" TargetMode="External"/><Relationship Id="rId11" Type="http://schemas.openxmlformats.org/officeDocument/2006/relationships/image" Target="media/image2.png"/><Relationship Id="rId5" Type="http://schemas.openxmlformats.org/officeDocument/2006/relationships/chart" Target="charts/chart1.xml"/><Relationship Id="rId15" Type="http://schemas.openxmlformats.org/officeDocument/2006/relationships/hyperlink" Target="https://news.sky.com/story/venice-canals-almost-run-dry-just-two-months-after-flooding-11907106"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commons.wikimedia.org/w/index.php?curid=36765119" TargetMode="External"/><Relationship Id="rId14" Type="http://schemas.openxmlformats.org/officeDocument/2006/relationships/hyperlink" Target="https://www.bbc.co.uk/news/world-europe-510981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TS6\D.Anderson\research\RGS%20Venice%20learning%20resource\Lesson%204%20material\Acqua%20alta%20data%20tab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Numbers</a:t>
            </a:r>
            <a:r>
              <a:rPr lang="en-GB" baseline="0"/>
              <a:t> of recorded high water events in Venice of +110cm or higher each year from 1875 to 2019</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Sheet1!$A$11:$A$155</c:f>
              <c:numCache>
                <c:formatCode>General</c:formatCode>
                <c:ptCount val="145"/>
                <c:pt idx="0">
                  <c:v>1875</c:v>
                </c:pt>
                <c:pt idx="1">
                  <c:v>1876</c:v>
                </c:pt>
                <c:pt idx="2">
                  <c:v>1877</c:v>
                </c:pt>
                <c:pt idx="3">
                  <c:v>1878</c:v>
                </c:pt>
                <c:pt idx="4">
                  <c:v>1879</c:v>
                </c:pt>
                <c:pt idx="5">
                  <c:v>1880</c:v>
                </c:pt>
                <c:pt idx="6">
                  <c:v>1881</c:v>
                </c:pt>
                <c:pt idx="7">
                  <c:v>1882</c:v>
                </c:pt>
                <c:pt idx="8">
                  <c:v>1883</c:v>
                </c:pt>
                <c:pt idx="9">
                  <c:v>1884</c:v>
                </c:pt>
                <c:pt idx="10">
                  <c:v>1885</c:v>
                </c:pt>
                <c:pt idx="11">
                  <c:v>1886</c:v>
                </c:pt>
                <c:pt idx="12">
                  <c:v>1887</c:v>
                </c:pt>
                <c:pt idx="13">
                  <c:v>1888</c:v>
                </c:pt>
                <c:pt idx="14">
                  <c:v>1889</c:v>
                </c:pt>
                <c:pt idx="15">
                  <c:v>1890</c:v>
                </c:pt>
                <c:pt idx="16">
                  <c:v>1891</c:v>
                </c:pt>
                <c:pt idx="17">
                  <c:v>1892</c:v>
                </c:pt>
                <c:pt idx="18">
                  <c:v>1893</c:v>
                </c:pt>
                <c:pt idx="19">
                  <c:v>1894</c:v>
                </c:pt>
                <c:pt idx="20">
                  <c:v>1895</c:v>
                </c:pt>
                <c:pt idx="21">
                  <c:v>1896</c:v>
                </c:pt>
                <c:pt idx="22">
                  <c:v>1897</c:v>
                </c:pt>
                <c:pt idx="23">
                  <c:v>1898</c:v>
                </c:pt>
                <c:pt idx="24">
                  <c:v>1899</c:v>
                </c:pt>
                <c:pt idx="25">
                  <c:v>1900</c:v>
                </c:pt>
                <c:pt idx="26">
                  <c:v>1901</c:v>
                </c:pt>
                <c:pt idx="27">
                  <c:v>1902</c:v>
                </c:pt>
                <c:pt idx="28">
                  <c:v>1903</c:v>
                </c:pt>
                <c:pt idx="29">
                  <c:v>1904</c:v>
                </c:pt>
                <c:pt idx="30">
                  <c:v>1905</c:v>
                </c:pt>
                <c:pt idx="31">
                  <c:v>1906</c:v>
                </c:pt>
                <c:pt idx="32">
                  <c:v>1907</c:v>
                </c:pt>
                <c:pt idx="33">
                  <c:v>1908</c:v>
                </c:pt>
                <c:pt idx="34">
                  <c:v>1909</c:v>
                </c:pt>
                <c:pt idx="35">
                  <c:v>1910</c:v>
                </c:pt>
                <c:pt idx="36">
                  <c:v>1911</c:v>
                </c:pt>
                <c:pt idx="37">
                  <c:v>1912</c:v>
                </c:pt>
                <c:pt idx="38">
                  <c:v>1913</c:v>
                </c:pt>
                <c:pt idx="39">
                  <c:v>1914</c:v>
                </c:pt>
                <c:pt idx="40">
                  <c:v>1915</c:v>
                </c:pt>
                <c:pt idx="41">
                  <c:v>1916</c:v>
                </c:pt>
                <c:pt idx="42">
                  <c:v>1917</c:v>
                </c:pt>
                <c:pt idx="43">
                  <c:v>1918</c:v>
                </c:pt>
                <c:pt idx="44">
                  <c:v>1919</c:v>
                </c:pt>
                <c:pt idx="45">
                  <c:v>1920</c:v>
                </c:pt>
                <c:pt idx="46">
                  <c:v>1921</c:v>
                </c:pt>
                <c:pt idx="47">
                  <c:v>1922</c:v>
                </c:pt>
                <c:pt idx="48">
                  <c:v>1923</c:v>
                </c:pt>
                <c:pt idx="49">
                  <c:v>1924</c:v>
                </c:pt>
                <c:pt idx="50">
                  <c:v>1925</c:v>
                </c:pt>
                <c:pt idx="51">
                  <c:v>1926</c:v>
                </c:pt>
                <c:pt idx="52">
                  <c:v>1927</c:v>
                </c:pt>
                <c:pt idx="53">
                  <c:v>1928</c:v>
                </c:pt>
                <c:pt idx="54">
                  <c:v>1929</c:v>
                </c:pt>
                <c:pt idx="55">
                  <c:v>1930</c:v>
                </c:pt>
                <c:pt idx="56">
                  <c:v>1931</c:v>
                </c:pt>
                <c:pt idx="57">
                  <c:v>1932</c:v>
                </c:pt>
                <c:pt idx="58">
                  <c:v>1933</c:v>
                </c:pt>
                <c:pt idx="59">
                  <c:v>1934</c:v>
                </c:pt>
                <c:pt idx="60">
                  <c:v>1935</c:v>
                </c:pt>
                <c:pt idx="61">
                  <c:v>1936</c:v>
                </c:pt>
                <c:pt idx="62">
                  <c:v>1937</c:v>
                </c:pt>
                <c:pt idx="63">
                  <c:v>1938</c:v>
                </c:pt>
                <c:pt idx="64">
                  <c:v>1939</c:v>
                </c:pt>
                <c:pt idx="65">
                  <c:v>1940</c:v>
                </c:pt>
                <c:pt idx="66">
                  <c:v>1941</c:v>
                </c:pt>
                <c:pt idx="67">
                  <c:v>1942</c:v>
                </c:pt>
                <c:pt idx="68">
                  <c:v>1943</c:v>
                </c:pt>
                <c:pt idx="69">
                  <c:v>1944</c:v>
                </c:pt>
                <c:pt idx="70">
                  <c:v>1945</c:v>
                </c:pt>
                <c:pt idx="71">
                  <c:v>1946</c:v>
                </c:pt>
                <c:pt idx="72">
                  <c:v>1947</c:v>
                </c:pt>
                <c:pt idx="73">
                  <c:v>1948</c:v>
                </c:pt>
                <c:pt idx="74">
                  <c:v>1949</c:v>
                </c:pt>
                <c:pt idx="75">
                  <c:v>1950</c:v>
                </c:pt>
                <c:pt idx="76">
                  <c:v>1951</c:v>
                </c:pt>
                <c:pt idx="77">
                  <c:v>1952</c:v>
                </c:pt>
                <c:pt idx="78">
                  <c:v>1953</c:v>
                </c:pt>
                <c:pt idx="79">
                  <c:v>1954</c:v>
                </c:pt>
                <c:pt idx="80">
                  <c:v>1955</c:v>
                </c:pt>
                <c:pt idx="81">
                  <c:v>1956</c:v>
                </c:pt>
                <c:pt idx="82">
                  <c:v>1957</c:v>
                </c:pt>
                <c:pt idx="83">
                  <c:v>1958</c:v>
                </c:pt>
                <c:pt idx="84">
                  <c:v>1959</c:v>
                </c:pt>
                <c:pt idx="85">
                  <c:v>1960</c:v>
                </c:pt>
                <c:pt idx="86">
                  <c:v>1961</c:v>
                </c:pt>
                <c:pt idx="87">
                  <c:v>1962</c:v>
                </c:pt>
                <c:pt idx="88">
                  <c:v>1963</c:v>
                </c:pt>
                <c:pt idx="89">
                  <c:v>1964</c:v>
                </c:pt>
                <c:pt idx="90">
                  <c:v>1965</c:v>
                </c:pt>
                <c:pt idx="91">
                  <c:v>1966</c:v>
                </c:pt>
                <c:pt idx="92">
                  <c:v>1967</c:v>
                </c:pt>
                <c:pt idx="93">
                  <c:v>1968</c:v>
                </c:pt>
                <c:pt idx="94">
                  <c:v>1969</c:v>
                </c:pt>
                <c:pt idx="95">
                  <c:v>1970</c:v>
                </c:pt>
                <c:pt idx="96">
                  <c:v>1971</c:v>
                </c:pt>
                <c:pt idx="97">
                  <c:v>1972</c:v>
                </c:pt>
                <c:pt idx="98">
                  <c:v>1973</c:v>
                </c:pt>
                <c:pt idx="99">
                  <c:v>1974</c:v>
                </c:pt>
                <c:pt idx="100">
                  <c:v>1975</c:v>
                </c:pt>
                <c:pt idx="101">
                  <c:v>1976</c:v>
                </c:pt>
                <c:pt idx="102">
                  <c:v>1977</c:v>
                </c:pt>
                <c:pt idx="103">
                  <c:v>1978</c:v>
                </c:pt>
                <c:pt idx="104">
                  <c:v>1979</c:v>
                </c:pt>
                <c:pt idx="105">
                  <c:v>1980</c:v>
                </c:pt>
                <c:pt idx="106">
                  <c:v>1981</c:v>
                </c:pt>
                <c:pt idx="107">
                  <c:v>1982</c:v>
                </c:pt>
                <c:pt idx="108">
                  <c:v>1983</c:v>
                </c:pt>
                <c:pt idx="109">
                  <c:v>1984</c:v>
                </c:pt>
                <c:pt idx="110">
                  <c:v>1985</c:v>
                </c:pt>
                <c:pt idx="111">
                  <c:v>1986</c:v>
                </c:pt>
                <c:pt idx="112">
                  <c:v>1987</c:v>
                </c:pt>
                <c:pt idx="113">
                  <c:v>1988</c:v>
                </c:pt>
                <c:pt idx="114">
                  <c:v>1989</c:v>
                </c:pt>
                <c:pt idx="115">
                  <c:v>1990</c:v>
                </c:pt>
                <c:pt idx="116">
                  <c:v>1991</c:v>
                </c:pt>
                <c:pt idx="117">
                  <c:v>1992</c:v>
                </c:pt>
                <c:pt idx="118">
                  <c:v>1993</c:v>
                </c:pt>
                <c:pt idx="119">
                  <c:v>1994</c:v>
                </c:pt>
                <c:pt idx="120">
                  <c:v>1995</c:v>
                </c:pt>
                <c:pt idx="121">
                  <c:v>1996</c:v>
                </c:pt>
                <c:pt idx="122">
                  <c:v>1997</c:v>
                </c:pt>
                <c:pt idx="123">
                  <c:v>1998</c:v>
                </c:pt>
                <c:pt idx="124">
                  <c:v>1999</c:v>
                </c:pt>
                <c:pt idx="125">
                  <c:v>2000</c:v>
                </c:pt>
                <c:pt idx="126">
                  <c:v>2001</c:v>
                </c:pt>
                <c:pt idx="127">
                  <c:v>2002</c:v>
                </c:pt>
                <c:pt idx="128">
                  <c:v>2003</c:v>
                </c:pt>
                <c:pt idx="129">
                  <c:v>2004</c:v>
                </c:pt>
                <c:pt idx="130">
                  <c:v>2005</c:v>
                </c:pt>
                <c:pt idx="131">
                  <c:v>2006</c:v>
                </c:pt>
                <c:pt idx="132">
                  <c:v>2007</c:v>
                </c:pt>
                <c:pt idx="133">
                  <c:v>2008</c:v>
                </c:pt>
                <c:pt idx="134">
                  <c:v>2009</c:v>
                </c:pt>
                <c:pt idx="135">
                  <c:v>2010</c:v>
                </c:pt>
                <c:pt idx="136">
                  <c:v>2011</c:v>
                </c:pt>
                <c:pt idx="137">
                  <c:v>2012</c:v>
                </c:pt>
                <c:pt idx="138">
                  <c:v>2013</c:v>
                </c:pt>
                <c:pt idx="139">
                  <c:v>2014</c:v>
                </c:pt>
                <c:pt idx="140">
                  <c:v>2015</c:v>
                </c:pt>
                <c:pt idx="141">
                  <c:v>2016</c:v>
                </c:pt>
                <c:pt idx="142">
                  <c:v>2017</c:v>
                </c:pt>
                <c:pt idx="143">
                  <c:v>2018</c:v>
                </c:pt>
                <c:pt idx="144">
                  <c:v>2019</c:v>
                </c:pt>
              </c:numCache>
            </c:numRef>
          </c:cat>
          <c:val>
            <c:numRef>
              <c:f>Sheet1!$B$11:$B$155</c:f>
              <c:numCache>
                <c:formatCode>General</c:formatCode>
                <c:ptCount val="145"/>
                <c:pt idx="0">
                  <c:v>2</c:v>
                </c:pt>
                <c:pt idx="1">
                  <c:v>0</c:v>
                </c:pt>
                <c:pt idx="2">
                  <c:v>0</c:v>
                </c:pt>
                <c:pt idx="3">
                  <c:v>0</c:v>
                </c:pt>
                <c:pt idx="4">
                  <c:v>2</c:v>
                </c:pt>
                <c:pt idx="5">
                  <c:v>0</c:v>
                </c:pt>
                <c:pt idx="6">
                  <c:v>0</c:v>
                </c:pt>
                <c:pt idx="7">
                  <c:v>2</c:v>
                </c:pt>
                <c:pt idx="8">
                  <c:v>0</c:v>
                </c:pt>
                <c:pt idx="9">
                  <c:v>0</c:v>
                </c:pt>
                <c:pt idx="10">
                  <c:v>0</c:v>
                </c:pt>
                <c:pt idx="11">
                  <c:v>0</c:v>
                </c:pt>
                <c:pt idx="12">
                  <c:v>0</c:v>
                </c:pt>
                <c:pt idx="13">
                  <c:v>0</c:v>
                </c:pt>
                <c:pt idx="14">
                  <c:v>0</c:v>
                </c:pt>
                <c:pt idx="15">
                  <c:v>0</c:v>
                </c:pt>
                <c:pt idx="16">
                  <c:v>0</c:v>
                </c:pt>
                <c:pt idx="17">
                  <c:v>0</c:v>
                </c:pt>
                <c:pt idx="18">
                  <c:v>0</c:v>
                </c:pt>
                <c:pt idx="19">
                  <c:v>0</c:v>
                </c:pt>
                <c:pt idx="20">
                  <c:v>0</c:v>
                </c:pt>
                <c:pt idx="21">
                  <c:v>3</c:v>
                </c:pt>
                <c:pt idx="22">
                  <c:v>0</c:v>
                </c:pt>
                <c:pt idx="23">
                  <c:v>0</c:v>
                </c:pt>
                <c:pt idx="24">
                  <c:v>0</c:v>
                </c:pt>
                <c:pt idx="25">
                  <c:v>0</c:v>
                </c:pt>
                <c:pt idx="26">
                  <c:v>0</c:v>
                </c:pt>
                <c:pt idx="27">
                  <c:v>0</c:v>
                </c:pt>
                <c:pt idx="28">
                  <c:v>1</c:v>
                </c:pt>
                <c:pt idx="29">
                  <c:v>0</c:v>
                </c:pt>
                <c:pt idx="30">
                  <c:v>0</c:v>
                </c:pt>
                <c:pt idx="31">
                  <c:v>1</c:v>
                </c:pt>
                <c:pt idx="32">
                  <c:v>0</c:v>
                </c:pt>
                <c:pt idx="33">
                  <c:v>0</c:v>
                </c:pt>
                <c:pt idx="34">
                  <c:v>0</c:v>
                </c:pt>
                <c:pt idx="35">
                  <c:v>1</c:v>
                </c:pt>
                <c:pt idx="36">
                  <c:v>0</c:v>
                </c:pt>
                <c:pt idx="37">
                  <c:v>0</c:v>
                </c:pt>
                <c:pt idx="38">
                  <c:v>0</c:v>
                </c:pt>
                <c:pt idx="39">
                  <c:v>1</c:v>
                </c:pt>
                <c:pt idx="40">
                  <c:v>0</c:v>
                </c:pt>
                <c:pt idx="41">
                  <c:v>1</c:v>
                </c:pt>
                <c:pt idx="42">
                  <c:v>0</c:v>
                </c:pt>
                <c:pt idx="43">
                  <c:v>0</c:v>
                </c:pt>
                <c:pt idx="44">
                  <c:v>0</c:v>
                </c:pt>
                <c:pt idx="45">
                  <c:v>1</c:v>
                </c:pt>
                <c:pt idx="46">
                  <c:v>0</c:v>
                </c:pt>
                <c:pt idx="47">
                  <c:v>0</c:v>
                </c:pt>
                <c:pt idx="48">
                  <c:v>0</c:v>
                </c:pt>
                <c:pt idx="49">
                  <c:v>0</c:v>
                </c:pt>
                <c:pt idx="50">
                  <c:v>0</c:v>
                </c:pt>
                <c:pt idx="51">
                  <c:v>0</c:v>
                </c:pt>
                <c:pt idx="52">
                  <c:v>1</c:v>
                </c:pt>
                <c:pt idx="53">
                  <c:v>1</c:v>
                </c:pt>
                <c:pt idx="54">
                  <c:v>0</c:v>
                </c:pt>
                <c:pt idx="55">
                  <c:v>0</c:v>
                </c:pt>
                <c:pt idx="56">
                  <c:v>0</c:v>
                </c:pt>
                <c:pt idx="57">
                  <c:v>0</c:v>
                </c:pt>
                <c:pt idx="58">
                  <c:v>2</c:v>
                </c:pt>
                <c:pt idx="59">
                  <c:v>2</c:v>
                </c:pt>
                <c:pt idx="60">
                  <c:v>1</c:v>
                </c:pt>
                <c:pt idx="61">
                  <c:v>1</c:v>
                </c:pt>
                <c:pt idx="62">
                  <c:v>1</c:v>
                </c:pt>
                <c:pt idx="63">
                  <c:v>1</c:v>
                </c:pt>
                <c:pt idx="64">
                  <c:v>0</c:v>
                </c:pt>
                <c:pt idx="65">
                  <c:v>0</c:v>
                </c:pt>
                <c:pt idx="66">
                  <c:v>0</c:v>
                </c:pt>
                <c:pt idx="67">
                  <c:v>0</c:v>
                </c:pt>
                <c:pt idx="68">
                  <c:v>0</c:v>
                </c:pt>
                <c:pt idx="69">
                  <c:v>0</c:v>
                </c:pt>
                <c:pt idx="70">
                  <c:v>0</c:v>
                </c:pt>
                <c:pt idx="71">
                  <c:v>1</c:v>
                </c:pt>
                <c:pt idx="72">
                  <c:v>1</c:v>
                </c:pt>
                <c:pt idx="73">
                  <c:v>3</c:v>
                </c:pt>
                <c:pt idx="74">
                  <c:v>0</c:v>
                </c:pt>
                <c:pt idx="75">
                  <c:v>1</c:v>
                </c:pt>
                <c:pt idx="76">
                  <c:v>3</c:v>
                </c:pt>
                <c:pt idx="77">
                  <c:v>1</c:v>
                </c:pt>
                <c:pt idx="78">
                  <c:v>0</c:v>
                </c:pt>
                <c:pt idx="79">
                  <c:v>1</c:v>
                </c:pt>
                <c:pt idx="80">
                  <c:v>0</c:v>
                </c:pt>
                <c:pt idx="81">
                  <c:v>0</c:v>
                </c:pt>
                <c:pt idx="82">
                  <c:v>1</c:v>
                </c:pt>
                <c:pt idx="83">
                  <c:v>4</c:v>
                </c:pt>
                <c:pt idx="84">
                  <c:v>2</c:v>
                </c:pt>
                <c:pt idx="85">
                  <c:v>6</c:v>
                </c:pt>
                <c:pt idx="86">
                  <c:v>1</c:v>
                </c:pt>
                <c:pt idx="87">
                  <c:v>2</c:v>
                </c:pt>
                <c:pt idx="88">
                  <c:v>5</c:v>
                </c:pt>
                <c:pt idx="89">
                  <c:v>0</c:v>
                </c:pt>
                <c:pt idx="90">
                  <c:v>1</c:v>
                </c:pt>
                <c:pt idx="91">
                  <c:v>4</c:v>
                </c:pt>
                <c:pt idx="92">
                  <c:v>3</c:v>
                </c:pt>
                <c:pt idx="93">
                  <c:v>5</c:v>
                </c:pt>
                <c:pt idx="94">
                  <c:v>4</c:v>
                </c:pt>
                <c:pt idx="95">
                  <c:v>3</c:v>
                </c:pt>
                <c:pt idx="96">
                  <c:v>3</c:v>
                </c:pt>
                <c:pt idx="97">
                  <c:v>4</c:v>
                </c:pt>
                <c:pt idx="98">
                  <c:v>2</c:v>
                </c:pt>
                <c:pt idx="99">
                  <c:v>0</c:v>
                </c:pt>
                <c:pt idx="100">
                  <c:v>2</c:v>
                </c:pt>
                <c:pt idx="101">
                  <c:v>3</c:v>
                </c:pt>
                <c:pt idx="102">
                  <c:v>1</c:v>
                </c:pt>
                <c:pt idx="103">
                  <c:v>3</c:v>
                </c:pt>
                <c:pt idx="104">
                  <c:v>10</c:v>
                </c:pt>
                <c:pt idx="105">
                  <c:v>3</c:v>
                </c:pt>
                <c:pt idx="106">
                  <c:v>6</c:v>
                </c:pt>
                <c:pt idx="107">
                  <c:v>7</c:v>
                </c:pt>
                <c:pt idx="108">
                  <c:v>1</c:v>
                </c:pt>
                <c:pt idx="109">
                  <c:v>4</c:v>
                </c:pt>
                <c:pt idx="110">
                  <c:v>1</c:v>
                </c:pt>
                <c:pt idx="111">
                  <c:v>2</c:v>
                </c:pt>
                <c:pt idx="112">
                  <c:v>2</c:v>
                </c:pt>
                <c:pt idx="113">
                  <c:v>0</c:v>
                </c:pt>
                <c:pt idx="114">
                  <c:v>0</c:v>
                </c:pt>
                <c:pt idx="115">
                  <c:v>5</c:v>
                </c:pt>
                <c:pt idx="116">
                  <c:v>1</c:v>
                </c:pt>
                <c:pt idx="117">
                  <c:v>7</c:v>
                </c:pt>
                <c:pt idx="118">
                  <c:v>4</c:v>
                </c:pt>
                <c:pt idx="119">
                  <c:v>1</c:v>
                </c:pt>
                <c:pt idx="120">
                  <c:v>1</c:v>
                </c:pt>
                <c:pt idx="121">
                  <c:v>8</c:v>
                </c:pt>
                <c:pt idx="122">
                  <c:v>8</c:v>
                </c:pt>
                <c:pt idx="123">
                  <c:v>4</c:v>
                </c:pt>
                <c:pt idx="124">
                  <c:v>5</c:v>
                </c:pt>
                <c:pt idx="125">
                  <c:v>6</c:v>
                </c:pt>
                <c:pt idx="126">
                  <c:v>5</c:v>
                </c:pt>
                <c:pt idx="127">
                  <c:v>12</c:v>
                </c:pt>
                <c:pt idx="128">
                  <c:v>0</c:v>
                </c:pt>
                <c:pt idx="129">
                  <c:v>5</c:v>
                </c:pt>
                <c:pt idx="130">
                  <c:v>1</c:v>
                </c:pt>
                <c:pt idx="131">
                  <c:v>1</c:v>
                </c:pt>
                <c:pt idx="132">
                  <c:v>0</c:v>
                </c:pt>
                <c:pt idx="133">
                  <c:v>6</c:v>
                </c:pt>
                <c:pt idx="134">
                  <c:v>16</c:v>
                </c:pt>
                <c:pt idx="135">
                  <c:v>18</c:v>
                </c:pt>
                <c:pt idx="136">
                  <c:v>1</c:v>
                </c:pt>
                <c:pt idx="137">
                  <c:v>9</c:v>
                </c:pt>
                <c:pt idx="138">
                  <c:v>6</c:v>
                </c:pt>
                <c:pt idx="139">
                  <c:v>15</c:v>
                </c:pt>
                <c:pt idx="140">
                  <c:v>7</c:v>
                </c:pt>
                <c:pt idx="141">
                  <c:v>3</c:v>
                </c:pt>
                <c:pt idx="142">
                  <c:v>1</c:v>
                </c:pt>
                <c:pt idx="143">
                  <c:v>9</c:v>
                </c:pt>
                <c:pt idx="144">
                  <c:v>26</c:v>
                </c:pt>
              </c:numCache>
            </c:numRef>
          </c:val>
          <c:extLst>
            <c:ext xmlns:c16="http://schemas.microsoft.com/office/drawing/2014/chart" uri="{C3380CC4-5D6E-409C-BE32-E72D297353CC}">
              <c16:uniqueId val="{00000000-1832-4548-ABD0-DC43C8AD28B2}"/>
            </c:ext>
          </c:extLst>
        </c:ser>
        <c:dLbls>
          <c:showLegendKey val="0"/>
          <c:showVal val="0"/>
          <c:showCatName val="0"/>
          <c:showSerName val="0"/>
          <c:showPercent val="0"/>
          <c:showBubbleSize val="0"/>
        </c:dLbls>
        <c:gapWidth val="219"/>
        <c:overlap val="-27"/>
        <c:axId val="547536352"/>
        <c:axId val="547533072"/>
      </c:barChart>
      <c:catAx>
        <c:axId val="54753635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533072"/>
        <c:crosses val="autoZero"/>
        <c:auto val="1"/>
        <c:lblAlgn val="ctr"/>
        <c:lblOffset val="100"/>
        <c:noMultiLvlLbl val="0"/>
      </c:catAx>
      <c:valAx>
        <c:axId val="547533072"/>
        <c:scaling>
          <c:orientation val="minMax"/>
          <c:max val="28"/>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536352"/>
        <c:crosses val="autoZero"/>
        <c:crossBetween val="between"/>
        <c:majorUnit val="4"/>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David : DEA</dc:creator>
  <cp:lastModifiedBy>Harrison Hegarty</cp:lastModifiedBy>
  <cp:revision>21</cp:revision>
  <dcterms:created xsi:type="dcterms:W3CDTF">2020-01-21T15:11:00Z</dcterms:created>
  <dcterms:modified xsi:type="dcterms:W3CDTF">2020-02-26T12:28:00Z</dcterms:modified>
</cp:coreProperties>
</file>