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89348" w14:textId="77777777" w:rsidR="004331C8" w:rsidRDefault="004331C8" w:rsidP="004331C8">
      <w:pPr>
        <w:pStyle w:val="Heading1"/>
        <w:contextualSpacing/>
        <w:rPr>
          <w:lang w:val="en-US"/>
        </w:rPr>
      </w:pPr>
    </w:p>
    <w:p w14:paraId="213B9D91" w14:textId="09F13AC2" w:rsidR="004331C8" w:rsidRDefault="005564BD" w:rsidP="004331C8">
      <w:pPr>
        <w:pStyle w:val="Heading1"/>
        <w:contextualSpacing/>
        <w:rPr>
          <w:lang w:val="en-US"/>
        </w:rPr>
      </w:pPr>
      <w:bookmarkStart w:id="0" w:name="_Toc20304759"/>
      <w:bookmarkStart w:id="1" w:name="_Toc20306744"/>
      <w:bookmarkStart w:id="2" w:name="_Toc21691061"/>
      <w:bookmarkStart w:id="3" w:name="_Toc22033401"/>
      <w:bookmarkStart w:id="4" w:name="_Toc22201419"/>
      <w:r w:rsidRPr="00426AA4">
        <w:rPr>
          <w:rFonts w:asciiTheme="minorHAnsi" w:hAnsiTheme="minorHAnsi"/>
          <w:noProof/>
          <w:lang w:eastAsia="en-GB"/>
        </w:rPr>
        <w:drawing>
          <wp:anchor distT="0" distB="0" distL="114300" distR="114300" simplePos="0" relativeHeight="251659264" behindDoc="0" locked="0" layoutInCell="1" allowOverlap="1" wp14:anchorId="0667CAD8" wp14:editId="56DD73F2">
            <wp:simplePos x="0" y="0"/>
            <wp:positionH relativeFrom="margin">
              <wp:posOffset>0</wp:posOffset>
            </wp:positionH>
            <wp:positionV relativeFrom="margin">
              <wp:posOffset>855980</wp:posOffset>
            </wp:positionV>
            <wp:extent cx="1219200" cy="3003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T_EduDatalab_Logo_No_SL_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300355"/>
                    </a:xfrm>
                    <a:prstGeom prst="rect">
                      <a:avLst/>
                    </a:prstGeom>
                  </pic:spPr>
                </pic:pic>
              </a:graphicData>
            </a:graphic>
          </wp:anchor>
        </w:drawing>
      </w:r>
      <w:bookmarkEnd w:id="0"/>
      <w:bookmarkEnd w:id="1"/>
      <w:bookmarkEnd w:id="2"/>
      <w:bookmarkEnd w:id="3"/>
      <w:bookmarkEnd w:id="4"/>
    </w:p>
    <w:p w14:paraId="526050AA" w14:textId="77777777" w:rsidR="004331C8" w:rsidRDefault="004331C8" w:rsidP="004331C8">
      <w:pPr>
        <w:pStyle w:val="Heading1"/>
        <w:contextualSpacing/>
        <w:rPr>
          <w:lang w:val="en-US"/>
        </w:rPr>
      </w:pPr>
    </w:p>
    <w:p w14:paraId="0D891878" w14:textId="77777777" w:rsidR="005564BD" w:rsidRDefault="005564BD" w:rsidP="005564BD">
      <w:pPr>
        <w:rPr>
          <w:lang w:val="en-US"/>
        </w:rPr>
      </w:pPr>
    </w:p>
    <w:p w14:paraId="5F7C6160" w14:textId="77777777" w:rsidR="005564BD" w:rsidRPr="005564BD" w:rsidRDefault="005564BD" w:rsidP="005564BD">
      <w:pPr>
        <w:rPr>
          <w:lang w:val="en-US"/>
        </w:rPr>
      </w:pPr>
    </w:p>
    <w:p w14:paraId="3B5D6360" w14:textId="598A82B6" w:rsidR="004331C8" w:rsidRPr="005564BD" w:rsidRDefault="007A6A2A" w:rsidP="004331C8">
      <w:pPr>
        <w:pStyle w:val="Heading1"/>
        <w:contextualSpacing/>
        <w:rPr>
          <w:rFonts w:ascii="Calibri" w:hAnsi="Calibri" w:cs="Calibri"/>
          <w:sz w:val="28"/>
          <w:szCs w:val="28"/>
          <w:lang w:val="en-US"/>
        </w:rPr>
      </w:pPr>
      <w:bookmarkStart w:id="5" w:name="_Toc20304755"/>
      <w:bookmarkStart w:id="6" w:name="_Toc20306740"/>
      <w:bookmarkStart w:id="7" w:name="_Toc21691057"/>
      <w:bookmarkStart w:id="8" w:name="_Toc22033397"/>
      <w:bookmarkStart w:id="9" w:name="_Toc22201415"/>
      <w:r w:rsidRPr="005564BD">
        <w:rPr>
          <w:rFonts w:ascii="Calibri" w:hAnsi="Calibri" w:cs="Calibri"/>
          <w:sz w:val="28"/>
          <w:szCs w:val="28"/>
          <w:lang w:val="en-US"/>
        </w:rPr>
        <w:t xml:space="preserve">Analysis of entries </w:t>
      </w:r>
      <w:r w:rsidR="004B3C62" w:rsidRPr="005564BD">
        <w:rPr>
          <w:rFonts w:ascii="Calibri" w:hAnsi="Calibri" w:cs="Calibri"/>
          <w:sz w:val="28"/>
          <w:szCs w:val="28"/>
          <w:lang w:val="en-US"/>
        </w:rPr>
        <w:t>to undergraduate</w:t>
      </w:r>
      <w:r w:rsidRPr="005564BD">
        <w:rPr>
          <w:rFonts w:ascii="Calibri" w:hAnsi="Calibri" w:cs="Calibri"/>
          <w:sz w:val="28"/>
          <w:szCs w:val="28"/>
          <w:lang w:val="en-US"/>
        </w:rPr>
        <w:t xml:space="preserve"> geography</w:t>
      </w:r>
      <w:bookmarkEnd w:id="5"/>
      <w:bookmarkEnd w:id="6"/>
      <w:bookmarkEnd w:id="7"/>
      <w:r w:rsidR="004B3C62" w:rsidRPr="005564BD">
        <w:rPr>
          <w:rFonts w:ascii="Calibri" w:hAnsi="Calibri" w:cs="Calibri"/>
          <w:sz w:val="28"/>
          <w:szCs w:val="28"/>
          <w:lang w:val="en-US"/>
        </w:rPr>
        <w:t xml:space="preserve"> degrees</w:t>
      </w:r>
      <w:bookmarkEnd w:id="8"/>
      <w:bookmarkEnd w:id="9"/>
    </w:p>
    <w:p w14:paraId="165C7ED0" w14:textId="77777777" w:rsidR="007A6A2A" w:rsidRPr="005564BD" w:rsidRDefault="007A6A2A" w:rsidP="007A6A2A">
      <w:pPr>
        <w:rPr>
          <w:sz w:val="28"/>
          <w:szCs w:val="28"/>
          <w:lang w:val="en-US"/>
        </w:rPr>
      </w:pPr>
    </w:p>
    <w:p w14:paraId="43DB97F6" w14:textId="31C576A8" w:rsidR="00A35D04" w:rsidRPr="005564BD" w:rsidRDefault="007A6A2A" w:rsidP="004331C8">
      <w:pPr>
        <w:pStyle w:val="Heading1"/>
        <w:contextualSpacing/>
        <w:rPr>
          <w:rFonts w:ascii="Calibri" w:hAnsi="Calibri" w:cs="Calibri"/>
          <w:sz w:val="28"/>
          <w:szCs w:val="28"/>
          <w:lang w:val="en-US"/>
        </w:rPr>
      </w:pPr>
      <w:bookmarkStart w:id="10" w:name="_Toc20304756"/>
      <w:bookmarkStart w:id="11" w:name="_Toc20306741"/>
      <w:bookmarkStart w:id="12" w:name="_Toc21691058"/>
      <w:bookmarkStart w:id="13" w:name="_Toc22033398"/>
      <w:bookmarkStart w:id="14" w:name="_Toc22201416"/>
      <w:r w:rsidRPr="005564BD">
        <w:rPr>
          <w:rFonts w:ascii="Calibri" w:hAnsi="Calibri" w:cs="Calibri"/>
          <w:sz w:val="28"/>
          <w:szCs w:val="28"/>
          <w:lang w:val="en-US"/>
        </w:rPr>
        <w:t xml:space="preserve">Report </w:t>
      </w:r>
      <w:r w:rsidR="0037044D" w:rsidRPr="005564BD">
        <w:rPr>
          <w:rFonts w:ascii="Calibri" w:hAnsi="Calibri" w:cs="Calibri"/>
          <w:sz w:val="28"/>
          <w:szCs w:val="28"/>
          <w:lang w:val="en-US"/>
        </w:rPr>
        <w:t xml:space="preserve">for </w:t>
      </w:r>
      <w:r w:rsidRPr="005564BD">
        <w:rPr>
          <w:rFonts w:ascii="Calibri" w:hAnsi="Calibri" w:cs="Calibri"/>
          <w:sz w:val="28"/>
          <w:szCs w:val="28"/>
          <w:lang w:val="en-US"/>
        </w:rPr>
        <w:t>the Royal Geographical Society</w:t>
      </w:r>
      <w:bookmarkEnd w:id="10"/>
      <w:bookmarkEnd w:id="11"/>
      <w:bookmarkEnd w:id="12"/>
      <w:bookmarkEnd w:id="13"/>
      <w:bookmarkEnd w:id="14"/>
      <w:r w:rsidR="005564BD" w:rsidRPr="005564BD">
        <w:rPr>
          <w:rFonts w:ascii="Calibri" w:hAnsi="Calibri" w:cs="Calibri"/>
          <w:sz w:val="28"/>
          <w:szCs w:val="28"/>
          <w:lang w:val="en-US"/>
        </w:rPr>
        <w:t xml:space="preserve"> (with IBG)</w:t>
      </w:r>
    </w:p>
    <w:p w14:paraId="2EA87591" w14:textId="0FB2F573" w:rsidR="00072460" w:rsidRPr="005564BD" w:rsidRDefault="00072460" w:rsidP="00481529">
      <w:pPr>
        <w:spacing w:after="160" w:line="259" w:lineRule="auto"/>
        <w:contextualSpacing/>
        <w:rPr>
          <w:b/>
          <w:bCs/>
          <w:sz w:val="28"/>
          <w:szCs w:val="28"/>
        </w:rPr>
      </w:pPr>
    </w:p>
    <w:p w14:paraId="5F7EF1FA" w14:textId="2415DC50" w:rsidR="00072460" w:rsidRPr="005564BD" w:rsidRDefault="00072460" w:rsidP="00481529">
      <w:pPr>
        <w:spacing w:after="160" w:line="259" w:lineRule="auto"/>
        <w:contextualSpacing/>
        <w:rPr>
          <w:b/>
          <w:bCs/>
          <w:sz w:val="20"/>
          <w:szCs w:val="20"/>
        </w:rPr>
      </w:pPr>
    </w:p>
    <w:p w14:paraId="4E6CDEB5" w14:textId="59BDF12D" w:rsidR="00072460" w:rsidRPr="005564BD" w:rsidRDefault="00072460" w:rsidP="00481529">
      <w:pPr>
        <w:spacing w:after="160" w:line="259" w:lineRule="auto"/>
        <w:contextualSpacing/>
        <w:rPr>
          <w:b/>
          <w:bCs/>
          <w:sz w:val="20"/>
          <w:szCs w:val="20"/>
        </w:rPr>
      </w:pPr>
    </w:p>
    <w:p w14:paraId="7CD71DB3" w14:textId="639B48BF" w:rsidR="00072460" w:rsidRPr="005564BD" w:rsidRDefault="00072460" w:rsidP="00481529">
      <w:pPr>
        <w:spacing w:after="160" w:line="259" w:lineRule="auto"/>
        <w:contextualSpacing/>
        <w:rPr>
          <w:b/>
          <w:bCs/>
          <w:sz w:val="20"/>
          <w:szCs w:val="20"/>
        </w:rPr>
      </w:pPr>
    </w:p>
    <w:p w14:paraId="5742B6CE" w14:textId="356BDA7F" w:rsidR="00072460" w:rsidRPr="005564BD" w:rsidRDefault="00072460" w:rsidP="00481529">
      <w:pPr>
        <w:spacing w:after="160" w:line="259" w:lineRule="auto"/>
        <w:contextualSpacing/>
        <w:rPr>
          <w:b/>
          <w:bCs/>
          <w:sz w:val="20"/>
          <w:szCs w:val="20"/>
        </w:rPr>
      </w:pPr>
    </w:p>
    <w:p w14:paraId="377EDC21" w14:textId="0F4F2C20" w:rsidR="00072460" w:rsidRPr="005564BD" w:rsidRDefault="00072460" w:rsidP="00481529">
      <w:pPr>
        <w:spacing w:after="160" w:line="259" w:lineRule="auto"/>
        <w:contextualSpacing/>
        <w:rPr>
          <w:b/>
          <w:bCs/>
          <w:sz w:val="20"/>
          <w:szCs w:val="20"/>
        </w:rPr>
      </w:pPr>
    </w:p>
    <w:p w14:paraId="4264DE24" w14:textId="2D41BFF5" w:rsidR="00072460" w:rsidRPr="005564BD" w:rsidRDefault="004B3C62" w:rsidP="00CC2619">
      <w:pPr>
        <w:pStyle w:val="Heading2"/>
        <w:jc w:val="right"/>
        <w:rPr>
          <w:rFonts w:ascii="Calibri" w:hAnsi="Calibri" w:cs="Calibri"/>
          <w:sz w:val="20"/>
          <w:szCs w:val="20"/>
        </w:rPr>
      </w:pPr>
      <w:bookmarkStart w:id="15" w:name="_Toc22033399"/>
      <w:bookmarkStart w:id="16" w:name="_Toc22201417"/>
      <w:r w:rsidRPr="005564BD">
        <w:rPr>
          <w:rFonts w:ascii="Calibri" w:hAnsi="Calibri" w:cs="Calibri"/>
          <w:sz w:val="20"/>
          <w:szCs w:val="20"/>
        </w:rPr>
        <w:t xml:space="preserve">Natasha </w:t>
      </w:r>
      <w:proofErr w:type="spellStart"/>
      <w:r w:rsidRPr="005564BD">
        <w:rPr>
          <w:rFonts w:ascii="Calibri" w:hAnsi="Calibri" w:cs="Calibri"/>
          <w:sz w:val="20"/>
          <w:szCs w:val="20"/>
        </w:rPr>
        <w:t>Plaister</w:t>
      </w:r>
      <w:bookmarkEnd w:id="15"/>
      <w:bookmarkEnd w:id="16"/>
      <w:proofErr w:type="spellEnd"/>
    </w:p>
    <w:p w14:paraId="67795001" w14:textId="6CDA736A" w:rsidR="00072460" w:rsidRPr="005564BD" w:rsidRDefault="003B78CE" w:rsidP="00CC2619">
      <w:pPr>
        <w:pStyle w:val="Heading2"/>
        <w:jc w:val="right"/>
        <w:rPr>
          <w:rFonts w:ascii="Calibri" w:hAnsi="Calibri" w:cs="Calibri"/>
          <w:sz w:val="20"/>
          <w:szCs w:val="20"/>
        </w:rPr>
      </w:pPr>
      <w:bookmarkStart w:id="17" w:name="_Toc20304758"/>
      <w:bookmarkStart w:id="18" w:name="_Toc20306743"/>
      <w:bookmarkStart w:id="19" w:name="_Toc21691060"/>
      <w:bookmarkStart w:id="20" w:name="_Toc22033400"/>
      <w:bookmarkStart w:id="21" w:name="_Toc22201418"/>
      <w:r w:rsidRPr="005564BD">
        <w:rPr>
          <w:rFonts w:ascii="Calibri" w:hAnsi="Calibri" w:cs="Calibri"/>
          <w:sz w:val="20"/>
          <w:szCs w:val="20"/>
        </w:rPr>
        <w:t>Dave Thomson</w:t>
      </w:r>
      <w:bookmarkEnd w:id="17"/>
      <w:bookmarkEnd w:id="18"/>
      <w:bookmarkEnd w:id="19"/>
      <w:bookmarkEnd w:id="20"/>
      <w:bookmarkEnd w:id="21"/>
    </w:p>
    <w:p w14:paraId="041744F8" w14:textId="4566891E" w:rsidR="00072460" w:rsidRPr="005564BD" w:rsidRDefault="00072460" w:rsidP="00CC2619">
      <w:pPr>
        <w:pStyle w:val="Heading2"/>
        <w:jc w:val="right"/>
        <w:rPr>
          <w:rFonts w:ascii="Calibri" w:hAnsi="Calibri" w:cs="Calibri"/>
          <w:sz w:val="20"/>
          <w:szCs w:val="20"/>
        </w:rPr>
      </w:pPr>
    </w:p>
    <w:p w14:paraId="6D0DF70D" w14:textId="08B5DC97" w:rsidR="00072460" w:rsidRPr="005564BD" w:rsidRDefault="00072460">
      <w:pPr>
        <w:spacing w:after="160" w:line="259" w:lineRule="auto"/>
        <w:rPr>
          <w:sz w:val="20"/>
          <w:szCs w:val="20"/>
        </w:rPr>
        <w:sectPr w:rsidR="00072460" w:rsidRPr="005564BD">
          <w:footerReference w:type="default" r:id="rId9"/>
          <w:pgSz w:w="11906" w:h="16838"/>
          <w:pgMar w:top="1440" w:right="1440" w:bottom="1440" w:left="1440" w:header="708" w:footer="708" w:gutter="0"/>
          <w:cols w:space="708"/>
          <w:docGrid w:linePitch="360"/>
        </w:sectPr>
      </w:pPr>
    </w:p>
    <w:sdt>
      <w:sdtPr>
        <w:rPr>
          <w:rFonts w:ascii="Calibri" w:eastAsiaTheme="minorHAnsi" w:hAnsi="Calibri" w:cs="Calibri"/>
          <w:color w:val="auto"/>
          <w:sz w:val="20"/>
          <w:szCs w:val="20"/>
          <w:lang w:val="en-GB"/>
        </w:rPr>
        <w:id w:val="-1836906215"/>
        <w:docPartObj>
          <w:docPartGallery w:val="Table of Contents"/>
          <w:docPartUnique/>
        </w:docPartObj>
      </w:sdtPr>
      <w:sdtEndPr>
        <w:rPr>
          <w:b/>
          <w:bCs/>
          <w:noProof/>
        </w:rPr>
      </w:sdtEndPr>
      <w:sdtContent>
        <w:p w14:paraId="364171BA" w14:textId="16652089" w:rsidR="00774ED7" w:rsidRPr="005564BD" w:rsidRDefault="00774ED7">
          <w:pPr>
            <w:pStyle w:val="TOCHeading"/>
            <w:rPr>
              <w:rFonts w:ascii="Calibri" w:hAnsi="Calibri" w:cs="Calibri"/>
              <w:sz w:val="20"/>
              <w:szCs w:val="20"/>
            </w:rPr>
          </w:pPr>
          <w:r w:rsidRPr="005564BD">
            <w:rPr>
              <w:rFonts w:ascii="Calibri" w:hAnsi="Calibri" w:cs="Calibri"/>
              <w:sz w:val="20"/>
              <w:szCs w:val="20"/>
            </w:rPr>
            <w:t>Contents</w:t>
          </w:r>
        </w:p>
        <w:p w14:paraId="3F9F4F46" w14:textId="79261D2C" w:rsidR="00F43A89" w:rsidRPr="005564BD" w:rsidRDefault="00774ED7" w:rsidP="00F43A89">
          <w:pPr>
            <w:pStyle w:val="TOC1"/>
            <w:tabs>
              <w:tab w:val="right" w:leader="dot" w:pos="9016"/>
            </w:tabs>
            <w:rPr>
              <w:rFonts w:eastAsiaTheme="minorEastAsia"/>
              <w:noProof/>
              <w:sz w:val="20"/>
              <w:szCs w:val="20"/>
              <w:lang w:eastAsia="en-GB"/>
            </w:rPr>
          </w:pPr>
          <w:r w:rsidRPr="005564BD">
            <w:rPr>
              <w:sz w:val="20"/>
              <w:szCs w:val="20"/>
            </w:rPr>
            <w:fldChar w:fldCharType="begin"/>
          </w:r>
          <w:r w:rsidRPr="005564BD">
            <w:rPr>
              <w:sz w:val="20"/>
              <w:szCs w:val="20"/>
            </w:rPr>
            <w:instrText xml:space="preserve"> TOC \o "1-3" \h \z \u </w:instrText>
          </w:r>
          <w:r w:rsidRPr="005564BD">
            <w:rPr>
              <w:sz w:val="20"/>
              <w:szCs w:val="20"/>
            </w:rPr>
            <w:fldChar w:fldCharType="separate"/>
          </w:r>
        </w:p>
        <w:p w14:paraId="5DB11043" w14:textId="77777777" w:rsidR="00F43A89" w:rsidRPr="005564BD" w:rsidRDefault="00535952">
          <w:pPr>
            <w:pStyle w:val="TOC2"/>
            <w:tabs>
              <w:tab w:val="left" w:pos="660"/>
              <w:tab w:val="right" w:leader="dot" w:pos="9016"/>
            </w:tabs>
            <w:rPr>
              <w:rFonts w:eastAsiaTheme="minorEastAsia"/>
              <w:noProof/>
              <w:sz w:val="20"/>
              <w:szCs w:val="20"/>
              <w:lang w:eastAsia="en-GB"/>
            </w:rPr>
          </w:pPr>
          <w:hyperlink w:anchor="_Toc22201421" w:history="1">
            <w:r w:rsidR="00F43A89" w:rsidRPr="005564BD">
              <w:rPr>
                <w:rStyle w:val="Hyperlink"/>
                <w:noProof/>
                <w:sz w:val="20"/>
                <w:szCs w:val="20"/>
              </w:rPr>
              <w:t>1.</w:t>
            </w:r>
            <w:r w:rsidR="00F43A89" w:rsidRPr="005564BD">
              <w:rPr>
                <w:rFonts w:eastAsiaTheme="minorEastAsia"/>
                <w:noProof/>
                <w:sz w:val="20"/>
                <w:szCs w:val="20"/>
                <w:lang w:eastAsia="en-GB"/>
              </w:rPr>
              <w:tab/>
            </w:r>
            <w:r w:rsidR="00F43A89" w:rsidRPr="005564BD">
              <w:rPr>
                <w:rStyle w:val="Hyperlink"/>
                <w:noProof/>
                <w:sz w:val="20"/>
                <w:szCs w:val="20"/>
              </w:rPr>
              <w:t>Introduction</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_Toc22201421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2</w:t>
            </w:r>
            <w:r w:rsidR="00F43A89" w:rsidRPr="005564BD">
              <w:rPr>
                <w:noProof/>
                <w:webHidden/>
                <w:sz w:val="20"/>
                <w:szCs w:val="20"/>
              </w:rPr>
              <w:fldChar w:fldCharType="end"/>
            </w:r>
          </w:hyperlink>
        </w:p>
        <w:p w14:paraId="6CC9C064" w14:textId="41DAA7E8" w:rsidR="00F43A89" w:rsidRPr="005564BD" w:rsidRDefault="00535952">
          <w:pPr>
            <w:pStyle w:val="TOC3"/>
            <w:tabs>
              <w:tab w:val="right" w:leader="dot" w:pos="9016"/>
            </w:tabs>
            <w:rPr>
              <w:rFonts w:eastAsiaTheme="minorEastAsia"/>
              <w:noProof/>
              <w:sz w:val="20"/>
              <w:szCs w:val="20"/>
              <w:lang w:eastAsia="en-GB"/>
            </w:rPr>
          </w:pPr>
          <w:hyperlink w:anchor="_Toc22201422" w:history="1">
            <w:r w:rsidR="00F43A89" w:rsidRPr="005564BD">
              <w:rPr>
                <w:rStyle w:val="Hyperlink"/>
                <w:noProof/>
                <w:sz w:val="20"/>
                <w:szCs w:val="20"/>
              </w:rPr>
              <w:t>Acknowledgments</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_Toc22201422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2</w:t>
            </w:r>
            <w:r w:rsidR="00F43A89" w:rsidRPr="005564BD">
              <w:rPr>
                <w:noProof/>
                <w:webHidden/>
                <w:sz w:val="20"/>
                <w:szCs w:val="20"/>
              </w:rPr>
              <w:fldChar w:fldCharType="end"/>
            </w:r>
          </w:hyperlink>
        </w:p>
        <w:p w14:paraId="12E6A54E" w14:textId="77777777" w:rsidR="00F43A89" w:rsidRPr="005564BD" w:rsidRDefault="00535952">
          <w:pPr>
            <w:pStyle w:val="TOC3"/>
            <w:tabs>
              <w:tab w:val="right" w:leader="dot" w:pos="9016"/>
            </w:tabs>
            <w:rPr>
              <w:rFonts w:eastAsiaTheme="minorEastAsia"/>
              <w:noProof/>
              <w:sz w:val="20"/>
              <w:szCs w:val="20"/>
              <w:lang w:eastAsia="en-GB"/>
            </w:rPr>
          </w:pPr>
          <w:hyperlink w:anchor="_Toc22201423" w:history="1">
            <w:r w:rsidR="00F43A89" w:rsidRPr="005564BD">
              <w:rPr>
                <w:rStyle w:val="Hyperlink"/>
                <w:noProof/>
                <w:sz w:val="20"/>
                <w:szCs w:val="20"/>
              </w:rPr>
              <w:t>Navigation</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_Toc22201423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2</w:t>
            </w:r>
            <w:r w:rsidR="00F43A89" w:rsidRPr="005564BD">
              <w:rPr>
                <w:noProof/>
                <w:webHidden/>
                <w:sz w:val="20"/>
                <w:szCs w:val="20"/>
              </w:rPr>
              <w:fldChar w:fldCharType="end"/>
            </w:r>
          </w:hyperlink>
        </w:p>
        <w:p w14:paraId="3560673F" w14:textId="77777777" w:rsidR="00F43A89" w:rsidRPr="005564BD" w:rsidRDefault="00535952">
          <w:pPr>
            <w:pStyle w:val="TOC2"/>
            <w:tabs>
              <w:tab w:val="left" w:pos="660"/>
              <w:tab w:val="right" w:leader="dot" w:pos="9016"/>
            </w:tabs>
            <w:rPr>
              <w:rFonts w:eastAsiaTheme="minorEastAsia"/>
              <w:noProof/>
              <w:sz w:val="20"/>
              <w:szCs w:val="20"/>
              <w:lang w:eastAsia="en-GB"/>
            </w:rPr>
          </w:pPr>
          <w:hyperlink w:anchor="_Toc22201424" w:history="1">
            <w:r w:rsidR="00F43A89" w:rsidRPr="005564BD">
              <w:rPr>
                <w:rStyle w:val="Hyperlink"/>
                <w:noProof/>
                <w:sz w:val="20"/>
                <w:szCs w:val="20"/>
              </w:rPr>
              <w:t>2.</w:t>
            </w:r>
            <w:r w:rsidR="00F43A89" w:rsidRPr="005564BD">
              <w:rPr>
                <w:rFonts w:eastAsiaTheme="minorEastAsia"/>
                <w:noProof/>
                <w:sz w:val="20"/>
                <w:szCs w:val="20"/>
                <w:lang w:eastAsia="en-GB"/>
              </w:rPr>
              <w:tab/>
            </w:r>
            <w:r w:rsidR="00F43A89" w:rsidRPr="005564BD">
              <w:rPr>
                <w:rStyle w:val="Hyperlink"/>
                <w:noProof/>
                <w:sz w:val="20"/>
                <w:szCs w:val="20"/>
              </w:rPr>
              <w:t>Summary</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_Toc22201424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2</w:t>
            </w:r>
            <w:r w:rsidR="00F43A89" w:rsidRPr="005564BD">
              <w:rPr>
                <w:noProof/>
                <w:webHidden/>
                <w:sz w:val="20"/>
                <w:szCs w:val="20"/>
              </w:rPr>
              <w:fldChar w:fldCharType="end"/>
            </w:r>
          </w:hyperlink>
        </w:p>
        <w:p w14:paraId="4E65A16B" w14:textId="77777777" w:rsidR="00F43A89" w:rsidRPr="005564BD" w:rsidRDefault="00535952">
          <w:pPr>
            <w:pStyle w:val="TOC3"/>
            <w:tabs>
              <w:tab w:val="right" w:leader="dot" w:pos="9016"/>
            </w:tabs>
            <w:rPr>
              <w:rFonts w:eastAsiaTheme="minorEastAsia"/>
              <w:noProof/>
              <w:sz w:val="20"/>
              <w:szCs w:val="20"/>
              <w:lang w:eastAsia="en-GB"/>
            </w:rPr>
          </w:pPr>
          <w:hyperlink w:anchor="_Toc22201425" w:history="1">
            <w:r w:rsidR="00F43A89" w:rsidRPr="005564BD">
              <w:rPr>
                <w:rStyle w:val="Hyperlink"/>
                <w:noProof/>
                <w:sz w:val="20"/>
                <w:szCs w:val="20"/>
              </w:rPr>
              <w:t>2.1 Data suppression</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_Toc22201425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3</w:t>
            </w:r>
            <w:r w:rsidR="00F43A89" w:rsidRPr="005564BD">
              <w:rPr>
                <w:noProof/>
                <w:webHidden/>
                <w:sz w:val="20"/>
                <w:szCs w:val="20"/>
              </w:rPr>
              <w:fldChar w:fldCharType="end"/>
            </w:r>
          </w:hyperlink>
        </w:p>
        <w:p w14:paraId="2BEE754A" w14:textId="77777777" w:rsidR="00F43A89" w:rsidRPr="005564BD" w:rsidRDefault="00535952">
          <w:pPr>
            <w:pStyle w:val="TOC2"/>
            <w:tabs>
              <w:tab w:val="right" w:leader="dot" w:pos="9016"/>
            </w:tabs>
            <w:rPr>
              <w:rFonts w:eastAsiaTheme="minorEastAsia"/>
              <w:noProof/>
              <w:sz w:val="20"/>
              <w:szCs w:val="20"/>
              <w:lang w:eastAsia="en-GB"/>
            </w:rPr>
          </w:pPr>
          <w:hyperlink w:anchor="_Toc22201426" w:history="1">
            <w:r w:rsidR="00F43A89" w:rsidRPr="005564BD">
              <w:rPr>
                <w:rStyle w:val="Hyperlink"/>
                <w:noProof/>
                <w:sz w:val="20"/>
                <w:szCs w:val="20"/>
              </w:rPr>
              <w:t>3. Student characteristics</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_Toc22201426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4</w:t>
            </w:r>
            <w:r w:rsidR="00F43A89" w:rsidRPr="005564BD">
              <w:rPr>
                <w:noProof/>
                <w:webHidden/>
                <w:sz w:val="20"/>
                <w:szCs w:val="20"/>
              </w:rPr>
              <w:fldChar w:fldCharType="end"/>
            </w:r>
          </w:hyperlink>
        </w:p>
        <w:p w14:paraId="7616758A" w14:textId="77777777" w:rsidR="00F43A89" w:rsidRPr="005564BD" w:rsidRDefault="00535952">
          <w:pPr>
            <w:pStyle w:val="TOC3"/>
            <w:tabs>
              <w:tab w:val="right" w:leader="dot" w:pos="9016"/>
            </w:tabs>
            <w:rPr>
              <w:rFonts w:eastAsiaTheme="minorEastAsia"/>
              <w:noProof/>
              <w:sz w:val="20"/>
              <w:szCs w:val="20"/>
              <w:lang w:eastAsia="en-GB"/>
            </w:rPr>
          </w:pPr>
          <w:hyperlink w:anchor="_Toc22201427" w:history="1">
            <w:r w:rsidR="00F43A89" w:rsidRPr="005564BD">
              <w:rPr>
                <w:rStyle w:val="Hyperlink"/>
                <w:rFonts w:eastAsia="Times New Roman"/>
                <w:noProof/>
                <w:sz w:val="20"/>
                <w:szCs w:val="20"/>
              </w:rPr>
              <w:t>3.1 Gender</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_Toc22201427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4</w:t>
            </w:r>
            <w:r w:rsidR="00F43A89" w:rsidRPr="005564BD">
              <w:rPr>
                <w:noProof/>
                <w:webHidden/>
                <w:sz w:val="20"/>
                <w:szCs w:val="20"/>
              </w:rPr>
              <w:fldChar w:fldCharType="end"/>
            </w:r>
          </w:hyperlink>
        </w:p>
        <w:p w14:paraId="56A83148" w14:textId="77777777" w:rsidR="00F43A89" w:rsidRPr="005564BD" w:rsidRDefault="00535952">
          <w:pPr>
            <w:pStyle w:val="TOC3"/>
            <w:tabs>
              <w:tab w:val="right" w:leader="dot" w:pos="9016"/>
            </w:tabs>
            <w:rPr>
              <w:rFonts w:eastAsiaTheme="minorEastAsia"/>
              <w:noProof/>
              <w:sz w:val="20"/>
              <w:szCs w:val="20"/>
              <w:lang w:eastAsia="en-GB"/>
            </w:rPr>
          </w:pPr>
          <w:hyperlink w:anchor="_Toc22201428" w:history="1">
            <w:r w:rsidR="00F43A89" w:rsidRPr="005564BD">
              <w:rPr>
                <w:rStyle w:val="Hyperlink"/>
                <w:rFonts w:eastAsia="Times New Roman"/>
                <w:noProof/>
                <w:sz w:val="20"/>
                <w:szCs w:val="20"/>
              </w:rPr>
              <w:t>3.2 Ethnicity</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_Toc22201428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4</w:t>
            </w:r>
            <w:r w:rsidR="00F43A89" w:rsidRPr="005564BD">
              <w:rPr>
                <w:noProof/>
                <w:webHidden/>
                <w:sz w:val="20"/>
                <w:szCs w:val="20"/>
              </w:rPr>
              <w:fldChar w:fldCharType="end"/>
            </w:r>
          </w:hyperlink>
        </w:p>
        <w:p w14:paraId="0D7784A1" w14:textId="77777777" w:rsidR="00F43A89" w:rsidRPr="005564BD" w:rsidRDefault="00535952">
          <w:pPr>
            <w:pStyle w:val="TOC3"/>
            <w:tabs>
              <w:tab w:val="right" w:leader="dot" w:pos="9016"/>
            </w:tabs>
            <w:rPr>
              <w:rFonts w:eastAsiaTheme="minorEastAsia"/>
              <w:noProof/>
              <w:sz w:val="20"/>
              <w:szCs w:val="20"/>
              <w:lang w:eastAsia="en-GB"/>
            </w:rPr>
          </w:pPr>
          <w:hyperlink w:anchor="_Toc22201429" w:history="1">
            <w:r w:rsidR="00F43A89" w:rsidRPr="005564BD">
              <w:rPr>
                <w:rStyle w:val="Hyperlink"/>
                <w:rFonts w:eastAsia="Times New Roman"/>
                <w:noProof/>
                <w:sz w:val="20"/>
                <w:szCs w:val="20"/>
              </w:rPr>
              <w:t>3.3 POLAR</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_Toc22201429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4</w:t>
            </w:r>
            <w:r w:rsidR="00F43A89" w:rsidRPr="005564BD">
              <w:rPr>
                <w:noProof/>
                <w:webHidden/>
                <w:sz w:val="20"/>
                <w:szCs w:val="20"/>
              </w:rPr>
              <w:fldChar w:fldCharType="end"/>
            </w:r>
          </w:hyperlink>
        </w:p>
        <w:p w14:paraId="3D27D66D" w14:textId="77777777" w:rsidR="00F43A89" w:rsidRPr="005564BD" w:rsidRDefault="00535952">
          <w:pPr>
            <w:pStyle w:val="TOC3"/>
            <w:tabs>
              <w:tab w:val="right" w:leader="dot" w:pos="9016"/>
            </w:tabs>
            <w:rPr>
              <w:rFonts w:eastAsiaTheme="minorEastAsia"/>
              <w:noProof/>
              <w:sz w:val="20"/>
              <w:szCs w:val="20"/>
              <w:lang w:eastAsia="en-GB"/>
            </w:rPr>
          </w:pPr>
          <w:hyperlink w:anchor="_Toc22201430" w:history="1">
            <w:r w:rsidR="00F43A89" w:rsidRPr="005564BD">
              <w:rPr>
                <w:rStyle w:val="Hyperlink"/>
                <w:rFonts w:eastAsia="Times New Roman"/>
                <w:noProof/>
                <w:sz w:val="20"/>
                <w:szCs w:val="20"/>
              </w:rPr>
              <w:t>3.4 IDACI</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_Toc22201430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4</w:t>
            </w:r>
            <w:r w:rsidR="00F43A89" w:rsidRPr="005564BD">
              <w:rPr>
                <w:noProof/>
                <w:webHidden/>
                <w:sz w:val="20"/>
                <w:szCs w:val="20"/>
              </w:rPr>
              <w:fldChar w:fldCharType="end"/>
            </w:r>
          </w:hyperlink>
        </w:p>
        <w:p w14:paraId="3C59E771" w14:textId="77777777" w:rsidR="00F43A89" w:rsidRPr="005564BD" w:rsidRDefault="00535952">
          <w:pPr>
            <w:pStyle w:val="TOC3"/>
            <w:tabs>
              <w:tab w:val="right" w:leader="dot" w:pos="9016"/>
            </w:tabs>
            <w:rPr>
              <w:rFonts w:eastAsiaTheme="minorEastAsia"/>
              <w:noProof/>
              <w:sz w:val="20"/>
              <w:szCs w:val="20"/>
              <w:lang w:eastAsia="en-GB"/>
            </w:rPr>
          </w:pPr>
          <w:hyperlink w:anchor="_Toc22201431" w:history="1">
            <w:r w:rsidR="00F43A89" w:rsidRPr="005564BD">
              <w:rPr>
                <w:rStyle w:val="Hyperlink"/>
                <w:rFonts w:eastAsia="Times New Roman"/>
                <w:noProof/>
                <w:sz w:val="20"/>
                <w:szCs w:val="20"/>
              </w:rPr>
              <w:t>3.5 Prior attainment</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_Toc22201431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5</w:t>
            </w:r>
            <w:r w:rsidR="00F43A89" w:rsidRPr="005564BD">
              <w:rPr>
                <w:noProof/>
                <w:webHidden/>
                <w:sz w:val="20"/>
                <w:szCs w:val="20"/>
              </w:rPr>
              <w:fldChar w:fldCharType="end"/>
            </w:r>
          </w:hyperlink>
        </w:p>
        <w:p w14:paraId="6010BDB4" w14:textId="77777777" w:rsidR="00F43A89" w:rsidRPr="005564BD" w:rsidRDefault="00535952">
          <w:pPr>
            <w:pStyle w:val="TOC2"/>
            <w:tabs>
              <w:tab w:val="right" w:leader="dot" w:pos="9016"/>
            </w:tabs>
            <w:rPr>
              <w:rFonts w:eastAsiaTheme="minorEastAsia"/>
              <w:noProof/>
              <w:sz w:val="20"/>
              <w:szCs w:val="20"/>
              <w:lang w:eastAsia="en-GB"/>
            </w:rPr>
          </w:pPr>
          <w:hyperlink w:anchor="_Toc22201432" w:history="1">
            <w:r w:rsidR="00F43A89" w:rsidRPr="005564BD">
              <w:rPr>
                <w:rStyle w:val="Hyperlink"/>
                <w:noProof/>
                <w:sz w:val="20"/>
                <w:szCs w:val="20"/>
              </w:rPr>
              <w:t>4. Establishment characteristics</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_Toc22201432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5</w:t>
            </w:r>
            <w:r w:rsidR="00F43A89" w:rsidRPr="005564BD">
              <w:rPr>
                <w:noProof/>
                <w:webHidden/>
                <w:sz w:val="20"/>
                <w:szCs w:val="20"/>
              </w:rPr>
              <w:fldChar w:fldCharType="end"/>
            </w:r>
          </w:hyperlink>
        </w:p>
        <w:p w14:paraId="7D4A928E" w14:textId="77777777" w:rsidR="00F43A89" w:rsidRPr="005564BD" w:rsidRDefault="00535952">
          <w:pPr>
            <w:pStyle w:val="TOC3"/>
            <w:tabs>
              <w:tab w:val="right" w:leader="dot" w:pos="9016"/>
            </w:tabs>
            <w:rPr>
              <w:rFonts w:eastAsiaTheme="minorEastAsia"/>
              <w:noProof/>
              <w:sz w:val="20"/>
              <w:szCs w:val="20"/>
              <w:lang w:eastAsia="en-GB"/>
            </w:rPr>
          </w:pPr>
          <w:hyperlink w:anchor="_Toc22201433" w:history="1">
            <w:r w:rsidR="00F43A89" w:rsidRPr="005564BD">
              <w:rPr>
                <w:rStyle w:val="Hyperlink"/>
                <w:rFonts w:eastAsia="Times New Roman"/>
                <w:noProof/>
                <w:sz w:val="20"/>
                <w:szCs w:val="20"/>
              </w:rPr>
              <w:t>4.1 HEI group</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_Toc22201433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5</w:t>
            </w:r>
            <w:r w:rsidR="00F43A89" w:rsidRPr="005564BD">
              <w:rPr>
                <w:noProof/>
                <w:webHidden/>
                <w:sz w:val="20"/>
                <w:szCs w:val="20"/>
              </w:rPr>
              <w:fldChar w:fldCharType="end"/>
            </w:r>
          </w:hyperlink>
        </w:p>
        <w:p w14:paraId="30E54E91" w14:textId="77777777" w:rsidR="00F43A89" w:rsidRPr="005564BD" w:rsidRDefault="00535952">
          <w:pPr>
            <w:pStyle w:val="TOC3"/>
            <w:tabs>
              <w:tab w:val="right" w:leader="dot" w:pos="9016"/>
            </w:tabs>
            <w:rPr>
              <w:rFonts w:eastAsiaTheme="minorEastAsia"/>
              <w:noProof/>
              <w:sz w:val="20"/>
              <w:szCs w:val="20"/>
              <w:lang w:eastAsia="en-GB"/>
            </w:rPr>
          </w:pPr>
          <w:hyperlink w:anchor="_Toc22201434" w:history="1">
            <w:r w:rsidR="00F43A89" w:rsidRPr="005564BD">
              <w:rPr>
                <w:rStyle w:val="Hyperlink"/>
                <w:rFonts w:eastAsia="Times New Roman"/>
                <w:noProof/>
                <w:sz w:val="20"/>
                <w:szCs w:val="20"/>
              </w:rPr>
              <w:t>4.2 School type</w:t>
            </w:r>
            <w:r w:rsidR="00F43A89" w:rsidRPr="005564BD">
              <w:rPr>
                <w:noProof/>
                <w:webHidden/>
                <w:sz w:val="20"/>
                <w:szCs w:val="20"/>
              </w:rPr>
              <w:tab/>
            </w:r>
            <w:r w:rsidR="00F43A89" w:rsidRPr="005564BD">
              <w:rPr>
                <w:noProof/>
                <w:webHidden/>
                <w:sz w:val="20"/>
                <w:szCs w:val="20"/>
              </w:rPr>
              <w:fldChar w:fldCharType="begin"/>
            </w:r>
            <w:r w:rsidR="00F43A89" w:rsidRPr="005564BD">
              <w:rPr>
                <w:noProof/>
                <w:webHidden/>
                <w:sz w:val="20"/>
                <w:szCs w:val="20"/>
              </w:rPr>
              <w:instrText xml:space="preserve"> PAGEREF _Toc22201434 \h </w:instrText>
            </w:r>
            <w:r w:rsidR="00F43A89" w:rsidRPr="005564BD">
              <w:rPr>
                <w:noProof/>
                <w:webHidden/>
                <w:sz w:val="20"/>
                <w:szCs w:val="20"/>
              </w:rPr>
            </w:r>
            <w:r w:rsidR="00F43A89" w:rsidRPr="005564BD">
              <w:rPr>
                <w:noProof/>
                <w:webHidden/>
                <w:sz w:val="20"/>
                <w:szCs w:val="20"/>
              </w:rPr>
              <w:fldChar w:fldCharType="separate"/>
            </w:r>
            <w:r w:rsidR="00F43A89" w:rsidRPr="005564BD">
              <w:rPr>
                <w:noProof/>
                <w:webHidden/>
                <w:sz w:val="20"/>
                <w:szCs w:val="20"/>
              </w:rPr>
              <w:t>6</w:t>
            </w:r>
            <w:r w:rsidR="00F43A89" w:rsidRPr="005564BD">
              <w:rPr>
                <w:noProof/>
                <w:webHidden/>
                <w:sz w:val="20"/>
                <w:szCs w:val="20"/>
              </w:rPr>
              <w:fldChar w:fldCharType="end"/>
            </w:r>
          </w:hyperlink>
        </w:p>
        <w:p w14:paraId="07B4B75A" w14:textId="040E27EF" w:rsidR="00774ED7" w:rsidRPr="005564BD" w:rsidRDefault="00774ED7">
          <w:pPr>
            <w:rPr>
              <w:sz w:val="20"/>
              <w:szCs w:val="20"/>
            </w:rPr>
          </w:pPr>
          <w:r w:rsidRPr="005564BD">
            <w:rPr>
              <w:b/>
              <w:bCs/>
              <w:noProof/>
              <w:sz w:val="20"/>
              <w:szCs w:val="20"/>
            </w:rPr>
            <w:fldChar w:fldCharType="end"/>
          </w:r>
        </w:p>
      </w:sdtContent>
    </w:sdt>
    <w:p w14:paraId="4749512E" w14:textId="77777777" w:rsidR="002E063A" w:rsidRPr="005564BD" w:rsidRDefault="002E063A" w:rsidP="00CC2619">
      <w:pPr>
        <w:rPr>
          <w:sz w:val="20"/>
          <w:szCs w:val="20"/>
        </w:rPr>
      </w:pPr>
    </w:p>
    <w:p w14:paraId="65851311" w14:textId="77777777" w:rsidR="00F85760" w:rsidRPr="005564BD" w:rsidRDefault="00F85760" w:rsidP="00481529">
      <w:pPr>
        <w:pStyle w:val="Heading2"/>
        <w:contextualSpacing/>
        <w:rPr>
          <w:rFonts w:ascii="Calibri" w:hAnsi="Calibri" w:cs="Calibri"/>
          <w:sz w:val="20"/>
          <w:szCs w:val="20"/>
        </w:rPr>
      </w:pPr>
    </w:p>
    <w:p w14:paraId="68199DDA" w14:textId="77777777" w:rsidR="006D15DA" w:rsidRPr="005564BD" w:rsidRDefault="006D15DA">
      <w:pPr>
        <w:spacing w:after="160" w:line="259" w:lineRule="auto"/>
        <w:rPr>
          <w:rFonts w:eastAsiaTheme="majorEastAsia"/>
          <w:color w:val="AC005D" w:themeColor="accent1" w:themeShade="BF"/>
          <w:sz w:val="20"/>
          <w:szCs w:val="20"/>
        </w:rPr>
      </w:pPr>
      <w:r w:rsidRPr="005564BD">
        <w:rPr>
          <w:sz w:val="20"/>
          <w:szCs w:val="20"/>
        </w:rPr>
        <w:br w:type="page"/>
      </w:r>
    </w:p>
    <w:p w14:paraId="4FC1FDF1" w14:textId="3C081E1A" w:rsidR="000D2107" w:rsidRPr="005564BD" w:rsidRDefault="000D2107" w:rsidP="00580188">
      <w:pPr>
        <w:pStyle w:val="Heading2"/>
        <w:numPr>
          <w:ilvl w:val="0"/>
          <w:numId w:val="24"/>
        </w:numPr>
        <w:rPr>
          <w:rFonts w:ascii="Calibri" w:hAnsi="Calibri" w:cs="Calibri"/>
          <w:sz w:val="20"/>
          <w:szCs w:val="20"/>
        </w:rPr>
      </w:pPr>
      <w:bookmarkStart w:id="22" w:name="_Toc22201421"/>
      <w:r w:rsidRPr="005564BD">
        <w:rPr>
          <w:rFonts w:ascii="Calibri" w:hAnsi="Calibri" w:cs="Calibri"/>
          <w:sz w:val="20"/>
          <w:szCs w:val="20"/>
        </w:rPr>
        <w:lastRenderedPageBreak/>
        <w:t>Introduction</w:t>
      </w:r>
      <w:bookmarkEnd w:id="22"/>
    </w:p>
    <w:p w14:paraId="1E77A656" w14:textId="77777777" w:rsidR="00B8758E" w:rsidRPr="005564BD" w:rsidRDefault="00B8758E" w:rsidP="00B8758E">
      <w:pPr>
        <w:rPr>
          <w:sz w:val="20"/>
          <w:szCs w:val="20"/>
        </w:rPr>
      </w:pPr>
    </w:p>
    <w:p w14:paraId="21B01B96" w14:textId="7537B914" w:rsidR="00B707EB" w:rsidRPr="005564BD" w:rsidRDefault="00B707EB" w:rsidP="00FE7BA3">
      <w:pPr>
        <w:spacing w:after="160"/>
        <w:rPr>
          <w:sz w:val="20"/>
          <w:szCs w:val="20"/>
        </w:rPr>
      </w:pPr>
      <w:r w:rsidRPr="005564BD">
        <w:rPr>
          <w:sz w:val="20"/>
          <w:szCs w:val="20"/>
        </w:rPr>
        <w:t xml:space="preserve">This report </w:t>
      </w:r>
      <w:r w:rsidR="005564BD">
        <w:rPr>
          <w:sz w:val="20"/>
          <w:szCs w:val="20"/>
        </w:rPr>
        <w:t>summarises analyses of</w:t>
      </w:r>
      <w:r w:rsidRPr="005564BD">
        <w:rPr>
          <w:sz w:val="20"/>
          <w:szCs w:val="20"/>
        </w:rPr>
        <w:t xml:space="preserve"> the characteristics of undergraduate geography students, and the progression of A-Level </w:t>
      </w:r>
      <w:r w:rsidR="00D40DEF" w:rsidRPr="005564BD">
        <w:rPr>
          <w:sz w:val="20"/>
          <w:szCs w:val="20"/>
        </w:rPr>
        <w:t>geography</w:t>
      </w:r>
      <w:r w:rsidRPr="005564BD">
        <w:rPr>
          <w:sz w:val="20"/>
          <w:szCs w:val="20"/>
        </w:rPr>
        <w:t xml:space="preserve"> students to higher education. In this </w:t>
      </w:r>
      <w:proofErr w:type="gramStart"/>
      <w:r w:rsidR="00D40DEF" w:rsidRPr="005564BD">
        <w:rPr>
          <w:sz w:val="20"/>
          <w:szCs w:val="20"/>
        </w:rPr>
        <w:t>particular</w:t>
      </w:r>
      <w:r w:rsidRPr="005564BD">
        <w:rPr>
          <w:sz w:val="20"/>
          <w:szCs w:val="20"/>
        </w:rPr>
        <w:t xml:space="preserve"> report</w:t>
      </w:r>
      <w:proofErr w:type="gramEnd"/>
      <w:r w:rsidRPr="005564BD">
        <w:rPr>
          <w:sz w:val="20"/>
          <w:szCs w:val="20"/>
        </w:rPr>
        <w:t>, we look at the characteristics of undergraduate geography students, during the period 2004/05-2017/18.</w:t>
      </w:r>
      <w:r w:rsidR="00580188" w:rsidRPr="005564BD">
        <w:rPr>
          <w:rStyle w:val="FootnoteReference"/>
          <w:sz w:val="20"/>
          <w:szCs w:val="20"/>
        </w:rPr>
        <w:footnoteReference w:id="1"/>
      </w:r>
      <w:r w:rsidRPr="005564BD">
        <w:rPr>
          <w:sz w:val="20"/>
          <w:szCs w:val="20"/>
        </w:rPr>
        <w:t xml:space="preserve">  We also consider the </w:t>
      </w:r>
      <w:r w:rsidR="00D40DEF" w:rsidRPr="005564BD">
        <w:rPr>
          <w:sz w:val="20"/>
          <w:szCs w:val="20"/>
        </w:rPr>
        <w:t>proportion</w:t>
      </w:r>
      <w:r w:rsidRPr="005564BD">
        <w:rPr>
          <w:sz w:val="20"/>
          <w:szCs w:val="20"/>
        </w:rPr>
        <w:t xml:space="preserve"> of students who went on to complete their degree.  </w:t>
      </w:r>
    </w:p>
    <w:p w14:paraId="4EAFE72D" w14:textId="77777777" w:rsidR="00B707EB" w:rsidRPr="005564BD" w:rsidRDefault="00B707EB" w:rsidP="00FE7BA3">
      <w:pPr>
        <w:spacing w:after="160"/>
        <w:rPr>
          <w:sz w:val="20"/>
          <w:szCs w:val="20"/>
        </w:rPr>
      </w:pPr>
      <w:r w:rsidRPr="005564BD">
        <w:rPr>
          <w:sz w:val="20"/>
          <w:szCs w:val="20"/>
        </w:rPr>
        <w:t>A separate document is available which describes the methodology followed and definitions used.</w:t>
      </w:r>
    </w:p>
    <w:p w14:paraId="798C19E5" w14:textId="016B2DD1" w:rsidR="002F04E4" w:rsidRDefault="00EC59B6" w:rsidP="00FE7BA3">
      <w:pPr>
        <w:pStyle w:val="Heading3"/>
        <w:spacing w:before="0"/>
        <w:rPr>
          <w:rFonts w:ascii="Calibri" w:hAnsi="Calibri" w:cs="Calibri"/>
          <w:sz w:val="20"/>
          <w:szCs w:val="20"/>
        </w:rPr>
      </w:pPr>
      <w:bookmarkStart w:id="23" w:name="_Toc22201422"/>
      <w:r w:rsidRPr="005564BD">
        <w:rPr>
          <w:rFonts w:ascii="Calibri" w:hAnsi="Calibri" w:cs="Calibri"/>
          <w:sz w:val="20"/>
          <w:szCs w:val="20"/>
        </w:rPr>
        <w:t>Acknowledgments</w:t>
      </w:r>
      <w:bookmarkEnd w:id="23"/>
    </w:p>
    <w:p w14:paraId="19F6119D" w14:textId="14109C90" w:rsidR="00AA037B" w:rsidRPr="005564BD" w:rsidRDefault="00B707EB" w:rsidP="00FE7BA3">
      <w:pPr>
        <w:spacing w:after="160"/>
        <w:rPr>
          <w:sz w:val="20"/>
          <w:szCs w:val="20"/>
        </w:rPr>
      </w:pPr>
      <w:r w:rsidRPr="005564BD">
        <w:rPr>
          <w:sz w:val="20"/>
          <w:szCs w:val="20"/>
        </w:rPr>
        <w:t xml:space="preserve">This publication includes analysis of the Department for Education National Pupil Database, linked to the HESA student record. Inferences or conclusions derived from the NPD or the HESA student record in this publication are the responsibility of FFT Education </w:t>
      </w:r>
      <w:proofErr w:type="spellStart"/>
      <w:r w:rsidRPr="005564BD">
        <w:rPr>
          <w:sz w:val="20"/>
          <w:szCs w:val="20"/>
        </w:rPr>
        <w:t>Datalab</w:t>
      </w:r>
      <w:proofErr w:type="spellEnd"/>
      <w:r w:rsidRPr="005564BD">
        <w:rPr>
          <w:sz w:val="20"/>
          <w:szCs w:val="20"/>
        </w:rPr>
        <w:t xml:space="preserve"> and not the Department for Education or HESA.</w:t>
      </w:r>
    </w:p>
    <w:p w14:paraId="5C52F549" w14:textId="7D7F63FF" w:rsidR="00B8758E" w:rsidRPr="005564BD" w:rsidRDefault="00B8758E" w:rsidP="00FE7BA3">
      <w:pPr>
        <w:spacing w:after="160"/>
        <w:rPr>
          <w:sz w:val="20"/>
          <w:szCs w:val="20"/>
        </w:rPr>
      </w:pPr>
      <w:r w:rsidRPr="005564BD">
        <w:rPr>
          <w:sz w:val="20"/>
          <w:szCs w:val="20"/>
        </w:rPr>
        <w:t>This work was produced using statistical data from ONS. The use of the ONS statistical data in this work does not imply the endorsement of the ONS in relation to the interpretation or analysis of the statistical data.</w:t>
      </w:r>
    </w:p>
    <w:p w14:paraId="621DBE3F" w14:textId="757E6B16" w:rsidR="00AA037B" w:rsidRPr="005564BD" w:rsidRDefault="00AA037B" w:rsidP="00FE7BA3">
      <w:pPr>
        <w:pStyle w:val="Heading3"/>
        <w:spacing w:before="0"/>
        <w:rPr>
          <w:rFonts w:ascii="Calibri" w:hAnsi="Calibri" w:cs="Calibri"/>
          <w:sz w:val="20"/>
          <w:szCs w:val="20"/>
        </w:rPr>
      </w:pPr>
      <w:bookmarkStart w:id="24" w:name="_Toc22201423"/>
      <w:r w:rsidRPr="005564BD">
        <w:rPr>
          <w:rFonts w:ascii="Calibri" w:hAnsi="Calibri" w:cs="Calibri"/>
          <w:sz w:val="20"/>
          <w:szCs w:val="20"/>
        </w:rPr>
        <w:t>Navigation</w:t>
      </w:r>
      <w:bookmarkEnd w:id="24"/>
    </w:p>
    <w:p w14:paraId="283679F1" w14:textId="1C222340" w:rsidR="00AA037B" w:rsidRPr="005564BD" w:rsidRDefault="00B707EB" w:rsidP="00FE7BA3">
      <w:pPr>
        <w:spacing w:after="160"/>
        <w:rPr>
          <w:rFonts w:eastAsiaTheme="majorEastAsia"/>
          <w:color w:val="AC005D" w:themeColor="accent1" w:themeShade="BF"/>
          <w:sz w:val="20"/>
          <w:szCs w:val="20"/>
        </w:rPr>
      </w:pPr>
      <w:r w:rsidRPr="005564BD">
        <w:rPr>
          <w:sz w:val="20"/>
          <w:szCs w:val="20"/>
        </w:rPr>
        <w:t xml:space="preserve">Titles used in sections 3 and 4 of this report correspond to worksheets in the Excel document provided showing </w:t>
      </w:r>
      <w:proofErr w:type="gramStart"/>
      <w:r w:rsidRPr="005564BD">
        <w:rPr>
          <w:sz w:val="20"/>
          <w:szCs w:val="20"/>
        </w:rPr>
        <w:t>all of</w:t>
      </w:r>
      <w:proofErr w:type="gramEnd"/>
      <w:r w:rsidRPr="005564BD">
        <w:rPr>
          <w:sz w:val="20"/>
          <w:szCs w:val="20"/>
        </w:rPr>
        <w:t xml:space="preserve"> the results of this project. This workbook also includes charts showing trends in entries. Sections 3 and 4 of this report are best read as an accompaniment to these charts.</w:t>
      </w:r>
    </w:p>
    <w:p w14:paraId="1F88BB0E" w14:textId="7D7B46D4" w:rsidR="00B707EB" w:rsidRPr="005564BD" w:rsidRDefault="00B707EB" w:rsidP="00FE7BA3">
      <w:pPr>
        <w:pStyle w:val="Heading2"/>
        <w:numPr>
          <w:ilvl w:val="0"/>
          <w:numId w:val="24"/>
        </w:numPr>
        <w:spacing w:before="0"/>
        <w:ind w:left="357" w:hanging="357"/>
        <w:rPr>
          <w:rFonts w:ascii="Calibri" w:hAnsi="Calibri" w:cs="Calibri"/>
          <w:sz w:val="20"/>
          <w:szCs w:val="20"/>
        </w:rPr>
      </w:pPr>
      <w:bookmarkStart w:id="25" w:name="_Toc22201424"/>
      <w:r w:rsidRPr="005564BD">
        <w:rPr>
          <w:rFonts w:ascii="Calibri" w:hAnsi="Calibri" w:cs="Calibri"/>
          <w:sz w:val="20"/>
          <w:szCs w:val="20"/>
        </w:rPr>
        <w:t>Summary</w:t>
      </w:r>
      <w:bookmarkEnd w:id="25"/>
      <w:r w:rsidRPr="005564BD">
        <w:rPr>
          <w:rFonts w:ascii="Calibri" w:hAnsi="Calibri" w:cs="Calibri"/>
          <w:sz w:val="20"/>
          <w:szCs w:val="20"/>
        </w:rPr>
        <w:t xml:space="preserve"> </w:t>
      </w:r>
    </w:p>
    <w:p w14:paraId="7D591C49" w14:textId="77777777" w:rsidR="00B8758E" w:rsidRPr="005564BD" w:rsidRDefault="00B8758E" w:rsidP="00B8758E">
      <w:pPr>
        <w:rPr>
          <w:sz w:val="20"/>
          <w:szCs w:val="20"/>
        </w:rPr>
      </w:pPr>
    </w:p>
    <w:p w14:paraId="075E3B47" w14:textId="1D53AC5C" w:rsidR="00FE7BA3" w:rsidRPr="005564BD" w:rsidRDefault="00B707EB" w:rsidP="00FE7BA3">
      <w:pPr>
        <w:spacing w:after="160"/>
        <w:rPr>
          <w:sz w:val="20"/>
          <w:szCs w:val="20"/>
        </w:rPr>
      </w:pPr>
      <w:r w:rsidRPr="005564BD">
        <w:rPr>
          <w:sz w:val="20"/>
          <w:szCs w:val="20"/>
        </w:rPr>
        <w:t>Over the period since 2005, entries to geography degrees have increased from 6,043 to 7,247 in 2018.</w:t>
      </w:r>
      <w:r w:rsidR="00580188" w:rsidRPr="005564BD">
        <w:rPr>
          <w:rStyle w:val="FootnoteReference"/>
          <w:sz w:val="20"/>
          <w:szCs w:val="20"/>
        </w:rPr>
        <w:footnoteReference w:id="2"/>
      </w:r>
      <w:r w:rsidR="00FE7BA3" w:rsidRPr="005564BD">
        <w:rPr>
          <w:sz w:val="20"/>
          <w:szCs w:val="20"/>
        </w:rPr>
        <w:t xml:space="preserve"> </w:t>
      </w:r>
      <w:r w:rsidRPr="005564BD">
        <w:rPr>
          <w:sz w:val="20"/>
          <w:szCs w:val="20"/>
        </w:rPr>
        <w:t>This has not been a steady increase; there was a fall of 1,337 students (19%) between 2012 and 2013, following reforms to higher education spending, although numbers in 2018 had recovered to slightly above the 2012 level.</w:t>
      </w:r>
    </w:p>
    <w:p w14:paraId="5F9AD4C4" w14:textId="4514CCB6" w:rsidR="005E6575" w:rsidRPr="005564BD" w:rsidRDefault="005E6575" w:rsidP="00FE7BA3">
      <w:pPr>
        <w:spacing w:after="160"/>
        <w:jc w:val="center"/>
        <w:rPr>
          <w:sz w:val="20"/>
          <w:szCs w:val="20"/>
        </w:rPr>
      </w:pPr>
      <w:r w:rsidRPr="005564BD">
        <w:rPr>
          <w:noProof/>
          <w:sz w:val="20"/>
          <w:szCs w:val="20"/>
          <w:lang w:eastAsia="en-GB"/>
        </w:rPr>
        <w:drawing>
          <wp:inline distT="0" distB="0" distL="0" distR="0" wp14:anchorId="6CDECB96" wp14:editId="3543DBAF">
            <wp:extent cx="4572000" cy="3340732"/>
            <wp:effectExtent l="0" t="0" r="0" b="1270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69A179" w14:textId="77777777" w:rsidR="003C0295" w:rsidRPr="005564BD" w:rsidRDefault="003C0295" w:rsidP="00B707EB">
      <w:pPr>
        <w:rPr>
          <w:sz w:val="20"/>
          <w:szCs w:val="20"/>
        </w:rPr>
      </w:pPr>
    </w:p>
    <w:p w14:paraId="1D38A8CF" w14:textId="77777777" w:rsidR="003C0295" w:rsidRPr="005564BD" w:rsidRDefault="003C0295" w:rsidP="00B707EB">
      <w:pPr>
        <w:rPr>
          <w:sz w:val="20"/>
          <w:szCs w:val="20"/>
        </w:rPr>
      </w:pPr>
    </w:p>
    <w:p w14:paraId="3A794504" w14:textId="066E8071" w:rsidR="00B707EB" w:rsidRPr="005564BD" w:rsidRDefault="00B707EB" w:rsidP="00B707EB">
      <w:pPr>
        <w:rPr>
          <w:sz w:val="20"/>
          <w:szCs w:val="20"/>
        </w:rPr>
      </w:pPr>
      <w:r w:rsidRPr="005564BD">
        <w:rPr>
          <w:sz w:val="20"/>
          <w:szCs w:val="20"/>
        </w:rPr>
        <w:lastRenderedPageBreak/>
        <w:t xml:space="preserve">From 2008 onwards, the completion rate has been </w:t>
      </w:r>
      <w:proofErr w:type="gramStart"/>
      <w:r w:rsidRPr="005564BD">
        <w:rPr>
          <w:sz w:val="20"/>
          <w:szCs w:val="20"/>
        </w:rPr>
        <w:t>fairly steady</w:t>
      </w:r>
      <w:proofErr w:type="gramEnd"/>
      <w:r w:rsidRPr="005564BD">
        <w:rPr>
          <w:sz w:val="20"/>
          <w:szCs w:val="20"/>
        </w:rPr>
        <w:t xml:space="preserve"> at around 85%.</w:t>
      </w:r>
      <w:r w:rsidR="005564BD">
        <w:rPr>
          <w:rStyle w:val="FootnoteReference"/>
          <w:sz w:val="20"/>
          <w:szCs w:val="20"/>
        </w:rPr>
        <w:footnoteReference w:id="3"/>
      </w:r>
      <w:r w:rsidRPr="005564BD">
        <w:rPr>
          <w:sz w:val="20"/>
          <w:szCs w:val="20"/>
        </w:rPr>
        <w:t xml:space="preserve"> </w:t>
      </w:r>
    </w:p>
    <w:p w14:paraId="59598F99" w14:textId="77777777" w:rsidR="00B707EB" w:rsidRPr="005564BD" w:rsidRDefault="00B707EB" w:rsidP="00B707EB">
      <w:pPr>
        <w:rPr>
          <w:sz w:val="20"/>
          <w:szCs w:val="20"/>
        </w:rPr>
      </w:pPr>
    </w:p>
    <w:p w14:paraId="4AEDFA65" w14:textId="3D624691" w:rsidR="00F43A89" w:rsidRPr="005564BD" w:rsidRDefault="00F43A89" w:rsidP="00F43A89">
      <w:pPr>
        <w:pStyle w:val="Heading3"/>
        <w:rPr>
          <w:rFonts w:ascii="Calibri" w:hAnsi="Calibri" w:cs="Calibri"/>
          <w:sz w:val="20"/>
          <w:szCs w:val="20"/>
        </w:rPr>
      </w:pPr>
      <w:bookmarkStart w:id="26" w:name="_Toc22201425"/>
      <w:r w:rsidRPr="005564BD">
        <w:rPr>
          <w:rFonts w:ascii="Calibri" w:hAnsi="Calibri" w:cs="Calibri"/>
          <w:sz w:val="20"/>
          <w:szCs w:val="20"/>
        </w:rPr>
        <w:t>2.1 Data suppression</w:t>
      </w:r>
      <w:bookmarkEnd w:id="26"/>
    </w:p>
    <w:p w14:paraId="26ABE250" w14:textId="77777777" w:rsidR="00F43A89" w:rsidRPr="005564BD" w:rsidRDefault="00F43A89" w:rsidP="00F43A89">
      <w:pPr>
        <w:rPr>
          <w:sz w:val="20"/>
          <w:szCs w:val="20"/>
        </w:rPr>
      </w:pPr>
      <w:r w:rsidRPr="005564BD">
        <w:rPr>
          <w:sz w:val="20"/>
          <w:szCs w:val="20"/>
        </w:rPr>
        <w:t xml:space="preserve">There are some restrictions placed on the publication of data and statistics from the National Pupil Database. </w:t>
      </w:r>
      <w:proofErr w:type="gramStart"/>
      <w:r w:rsidRPr="005564BD">
        <w:rPr>
          <w:sz w:val="20"/>
          <w:szCs w:val="20"/>
        </w:rPr>
        <w:t>In particular, data</w:t>
      </w:r>
      <w:proofErr w:type="gramEnd"/>
      <w:r w:rsidRPr="005564BD">
        <w:rPr>
          <w:sz w:val="20"/>
          <w:szCs w:val="20"/>
        </w:rPr>
        <w:t xml:space="preserve"> based on ten or fewer individuals is ‘suppressed’: the exact number, and any statistics based on that number, cannot be published. This is to avoid possible disclosure of information on individuals. </w:t>
      </w:r>
    </w:p>
    <w:p w14:paraId="2B15E6F0" w14:textId="77777777" w:rsidR="00F43A89" w:rsidRPr="005564BD" w:rsidRDefault="00F43A89" w:rsidP="00F43A89">
      <w:pPr>
        <w:rPr>
          <w:sz w:val="20"/>
          <w:szCs w:val="20"/>
        </w:rPr>
      </w:pPr>
    </w:p>
    <w:p w14:paraId="024950CB" w14:textId="6780A63A" w:rsidR="00F43A89" w:rsidRPr="005564BD" w:rsidRDefault="00F43A89" w:rsidP="00F43A89">
      <w:pPr>
        <w:rPr>
          <w:sz w:val="20"/>
          <w:szCs w:val="20"/>
        </w:rPr>
      </w:pPr>
      <w:r w:rsidRPr="005564BD">
        <w:rPr>
          <w:sz w:val="20"/>
          <w:szCs w:val="20"/>
        </w:rPr>
        <w:t>In this report and the accompanying Excel document, any numbers of ten or fewer have been replaced with a range. In most cases, this was not sufficient, as the number could still have been calculated from data provided. To avoid this issue, we have also replaced one or more other values in the data with a range. This is clearly noted in the Excel document. Suppression has been applied to data in the ethnicity section.</w:t>
      </w:r>
    </w:p>
    <w:p w14:paraId="6B4ED929" w14:textId="77777777" w:rsidR="00F43A89" w:rsidRPr="005564BD" w:rsidRDefault="00F43A89" w:rsidP="00B707EB">
      <w:pPr>
        <w:rPr>
          <w:sz w:val="20"/>
          <w:szCs w:val="20"/>
        </w:rPr>
      </w:pPr>
    </w:p>
    <w:p w14:paraId="22C9C250" w14:textId="15C6D2D3" w:rsidR="003B78CE" w:rsidRPr="005564BD" w:rsidRDefault="009135D2" w:rsidP="00B8758E">
      <w:pPr>
        <w:pStyle w:val="Heading2"/>
        <w:numPr>
          <w:ilvl w:val="0"/>
          <w:numId w:val="24"/>
        </w:numPr>
        <w:contextualSpacing/>
        <w:rPr>
          <w:rFonts w:ascii="Calibri" w:hAnsi="Calibri" w:cs="Calibri"/>
          <w:sz w:val="20"/>
          <w:szCs w:val="20"/>
        </w:rPr>
      </w:pPr>
      <w:bookmarkStart w:id="27" w:name="_Toc22201426"/>
      <w:r w:rsidRPr="005564BD">
        <w:rPr>
          <w:rFonts w:ascii="Calibri" w:hAnsi="Calibri" w:cs="Calibri"/>
          <w:sz w:val="20"/>
          <w:szCs w:val="20"/>
        </w:rPr>
        <w:t>Student</w:t>
      </w:r>
      <w:r w:rsidR="003B78CE" w:rsidRPr="005564BD">
        <w:rPr>
          <w:rFonts w:ascii="Calibri" w:hAnsi="Calibri" w:cs="Calibri"/>
          <w:sz w:val="20"/>
          <w:szCs w:val="20"/>
        </w:rPr>
        <w:t xml:space="preserve"> characteristics</w:t>
      </w:r>
      <w:bookmarkEnd w:id="27"/>
    </w:p>
    <w:p w14:paraId="44B0F430" w14:textId="77777777" w:rsidR="00B8758E" w:rsidRPr="005564BD" w:rsidRDefault="00B8758E" w:rsidP="00B8758E">
      <w:pPr>
        <w:rPr>
          <w:sz w:val="20"/>
          <w:szCs w:val="20"/>
        </w:rPr>
      </w:pPr>
    </w:p>
    <w:p w14:paraId="31304477" w14:textId="1C76B18E" w:rsidR="003B78CE" w:rsidRPr="005564BD" w:rsidRDefault="003F0436" w:rsidP="003B78CE">
      <w:pPr>
        <w:pStyle w:val="Heading3"/>
        <w:contextualSpacing/>
        <w:rPr>
          <w:rFonts w:ascii="Calibri" w:eastAsia="Times New Roman" w:hAnsi="Calibri" w:cs="Calibri"/>
          <w:sz w:val="20"/>
          <w:szCs w:val="20"/>
        </w:rPr>
      </w:pPr>
      <w:bookmarkStart w:id="28" w:name="_Toc22201427"/>
      <w:r w:rsidRPr="005564BD">
        <w:rPr>
          <w:rFonts w:ascii="Calibri" w:eastAsia="Times New Roman" w:hAnsi="Calibri" w:cs="Calibri"/>
          <w:sz w:val="20"/>
          <w:szCs w:val="20"/>
        </w:rPr>
        <w:t>3.</w:t>
      </w:r>
      <w:r w:rsidR="003B78CE" w:rsidRPr="005564BD">
        <w:rPr>
          <w:rFonts w:ascii="Calibri" w:eastAsia="Times New Roman" w:hAnsi="Calibri" w:cs="Calibri"/>
          <w:sz w:val="20"/>
          <w:szCs w:val="20"/>
        </w:rPr>
        <w:t>1 Gender</w:t>
      </w:r>
      <w:bookmarkEnd w:id="28"/>
    </w:p>
    <w:p w14:paraId="6C4A31A2" w14:textId="15637780" w:rsidR="00B707EB" w:rsidRPr="005564BD" w:rsidRDefault="00B707EB" w:rsidP="00B707EB">
      <w:pPr>
        <w:rPr>
          <w:sz w:val="20"/>
          <w:szCs w:val="20"/>
        </w:rPr>
      </w:pPr>
      <w:r w:rsidRPr="005564BD">
        <w:rPr>
          <w:sz w:val="20"/>
          <w:szCs w:val="20"/>
        </w:rPr>
        <w:t xml:space="preserve">The </w:t>
      </w:r>
      <w:r w:rsidR="00D40DEF" w:rsidRPr="005564BD">
        <w:rPr>
          <w:sz w:val="20"/>
          <w:szCs w:val="20"/>
        </w:rPr>
        <w:t>proportion</w:t>
      </w:r>
      <w:r w:rsidRPr="005564BD">
        <w:rPr>
          <w:sz w:val="20"/>
          <w:szCs w:val="20"/>
        </w:rPr>
        <w:t xml:space="preserve"> of geography </w:t>
      </w:r>
      <w:r w:rsidR="00D40DEF" w:rsidRPr="005564BD">
        <w:rPr>
          <w:sz w:val="20"/>
          <w:szCs w:val="20"/>
        </w:rPr>
        <w:t>undergraduates</w:t>
      </w:r>
      <w:r w:rsidRPr="005564BD">
        <w:rPr>
          <w:sz w:val="20"/>
          <w:szCs w:val="20"/>
        </w:rPr>
        <w:t xml:space="preserve"> who </w:t>
      </w:r>
      <w:r w:rsidR="00580188" w:rsidRPr="005564BD">
        <w:rPr>
          <w:sz w:val="20"/>
          <w:szCs w:val="20"/>
        </w:rPr>
        <w:t>were female</w:t>
      </w:r>
      <w:r w:rsidR="00580188" w:rsidRPr="005564BD">
        <w:rPr>
          <w:rStyle w:val="FootnoteReference"/>
          <w:sz w:val="20"/>
          <w:szCs w:val="20"/>
        </w:rPr>
        <w:footnoteReference w:id="4"/>
      </w:r>
      <w:r w:rsidR="00196602" w:rsidRPr="005564BD">
        <w:rPr>
          <w:sz w:val="20"/>
          <w:szCs w:val="20"/>
        </w:rPr>
        <w:t xml:space="preserve"> </w:t>
      </w:r>
      <w:r w:rsidRPr="005564BD">
        <w:rPr>
          <w:sz w:val="20"/>
          <w:szCs w:val="20"/>
        </w:rPr>
        <w:t xml:space="preserve">increased from 47% in 2005 to 56% in 2018. Since 2010, it has increased every year.  </w:t>
      </w:r>
    </w:p>
    <w:p w14:paraId="755F07D6" w14:textId="77777777" w:rsidR="00B707EB" w:rsidRPr="005564BD" w:rsidRDefault="00B707EB" w:rsidP="00B707EB">
      <w:pPr>
        <w:rPr>
          <w:sz w:val="20"/>
          <w:szCs w:val="20"/>
        </w:rPr>
      </w:pPr>
    </w:p>
    <w:p w14:paraId="59BCA3D6" w14:textId="4BB09B16" w:rsidR="00B707EB" w:rsidRPr="005564BD" w:rsidRDefault="00B707EB" w:rsidP="00B707EB">
      <w:pPr>
        <w:rPr>
          <w:sz w:val="20"/>
          <w:szCs w:val="20"/>
        </w:rPr>
      </w:pPr>
      <w:r w:rsidRPr="005564BD">
        <w:rPr>
          <w:sz w:val="20"/>
          <w:szCs w:val="20"/>
        </w:rPr>
        <w:t>A higher proportion of female students went on to complete their degree than other students; this was true in every year looked at for this report. For example, 88% of femal</w:t>
      </w:r>
      <w:r w:rsidR="00B35BFA" w:rsidRPr="005564BD">
        <w:rPr>
          <w:sz w:val="20"/>
          <w:szCs w:val="20"/>
        </w:rPr>
        <w:t>e students who began their degre</w:t>
      </w:r>
      <w:r w:rsidRPr="005564BD">
        <w:rPr>
          <w:sz w:val="20"/>
          <w:szCs w:val="20"/>
        </w:rPr>
        <w:t xml:space="preserve">es in 2015 had completed by 2018, compared to 84% of other students. </w:t>
      </w:r>
    </w:p>
    <w:p w14:paraId="34E635C4" w14:textId="77777777" w:rsidR="00B707EB" w:rsidRPr="005564BD" w:rsidRDefault="00B707EB" w:rsidP="00B707EB">
      <w:pPr>
        <w:rPr>
          <w:sz w:val="20"/>
          <w:szCs w:val="20"/>
        </w:rPr>
      </w:pPr>
    </w:p>
    <w:p w14:paraId="37876388" w14:textId="09F6503E" w:rsidR="003B78CE" w:rsidRPr="005564BD" w:rsidRDefault="003F0436" w:rsidP="003B78CE">
      <w:pPr>
        <w:pStyle w:val="Heading3"/>
        <w:contextualSpacing/>
        <w:rPr>
          <w:rFonts w:ascii="Calibri" w:eastAsia="Times New Roman" w:hAnsi="Calibri" w:cs="Calibri"/>
          <w:sz w:val="20"/>
          <w:szCs w:val="20"/>
        </w:rPr>
      </w:pPr>
      <w:bookmarkStart w:id="29" w:name="_Toc22201428"/>
      <w:r w:rsidRPr="005564BD">
        <w:rPr>
          <w:rFonts w:ascii="Calibri" w:eastAsia="Times New Roman" w:hAnsi="Calibri" w:cs="Calibri"/>
          <w:sz w:val="20"/>
          <w:szCs w:val="20"/>
        </w:rPr>
        <w:t>3.</w:t>
      </w:r>
      <w:r w:rsidR="003B78CE" w:rsidRPr="005564BD">
        <w:rPr>
          <w:rFonts w:ascii="Calibri" w:eastAsia="Times New Roman" w:hAnsi="Calibri" w:cs="Calibri"/>
          <w:sz w:val="20"/>
          <w:szCs w:val="20"/>
        </w:rPr>
        <w:t>2 Ethnicity</w:t>
      </w:r>
      <w:bookmarkEnd w:id="29"/>
    </w:p>
    <w:p w14:paraId="24516650" w14:textId="3BADCA79" w:rsidR="000418B2" w:rsidRPr="005564BD" w:rsidRDefault="00B707EB" w:rsidP="00D40DEF">
      <w:pPr>
        <w:rPr>
          <w:sz w:val="20"/>
          <w:szCs w:val="20"/>
        </w:rPr>
      </w:pPr>
      <w:proofErr w:type="gramStart"/>
      <w:r w:rsidRPr="005564BD">
        <w:rPr>
          <w:sz w:val="20"/>
          <w:szCs w:val="20"/>
        </w:rPr>
        <w:t>The majority of</w:t>
      </w:r>
      <w:proofErr w:type="gramEnd"/>
      <w:r w:rsidRPr="005564BD">
        <w:rPr>
          <w:sz w:val="20"/>
          <w:szCs w:val="20"/>
        </w:rPr>
        <w:t xml:space="preserve"> geography </w:t>
      </w:r>
      <w:r w:rsidR="000418B2" w:rsidRPr="005564BD">
        <w:rPr>
          <w:sz w:val="20"/>
          <w:szCs w:val="20"/>
        </w:rPr>
        <w:t>students we</w:t>
      </w:r>
      <w:r w:rsidRPr="005564BD">
        <w:rPr>
          <w:sz w:val="20"/>
          <w:szCs w:val="20"/>
        </w:rPr>
        <w:t xml:space="preserve">re white, 88% in 2018. </w:t>
      </w:r>
      <w:r w:rsidR="005809E0" w:rsidRPr="005564BD">
        <w:rPr>
          <w:sz w:val="20"/>
          <w:szCs w:val="20"/>
        </w:rPr>
        <w:t>The next largest ethnic group was</w:t>
      </w:r>
      <w:r w:rsidR="000418B2" w:rsidRPr="005564BD">
        <w:rPr>
          <w:sz w:val="20"/>
          <w:szCs w:val="20"/>
        </w:rPr>
        <w:t xml:space="preserve"> Asian students, who made up 5% of entrants in 2018. </w:t>
      </w:r>
    </w:p>
    <w:p w14:paraId="381E55DE" w14:textId="77777777" w:rsidR="000418B2" w:rsidRPr="005564BD" w:rsidRDefault="000418B2" w:rsidP="00D40DEF">
      <w:pPr>
        <w:rPr>
          <w:rFonts w:eastAsia="Times New Roman"/>
          <w:sz w:val="20"/>
          <w:szCs w:val="20"/>
        </w:rPr>
      </w:pPr>
    </w:p>
    <w:p w14:paraId="0231D860" w14:textId="0D3C9A62" w:rsidR="000418B2" w:rsidRPr="005564BD" w:rsidRDefault="000418B2" w:rsidP="00D40DEF">
      <w:pPr>
        <w:rPr>
          <w:sz w:val="20"/>
          <w:szCs w:val="20"/>
        </w:rPr>
      </w:pPr>
      <w:r w:rsidRPr="005564BD">
        <w:rPr>
          <w:sz w:val="20"/>
          <w:szCs w:val="20"/>
        </w:rPr>
        <w:t>Between 2005 and 2018, the number of black students more than tripled, and the number of Asian and mixed students more than doubled. The proportion of students who were white fell from 93% in 2005 to 88% in 2018.</w:t>
      </w:r>
      <w:r w:rsidR="00D86A5E" w:rsidRPr="005564BD">
        <w:rPr>
          <w:sz w:val="20"/>
          <w:szCs w:val="20"/>
        </w:rPr>
        <w:t xml:space="preserve"> As noted in our </w:t>
      </w:r>
      <w:r w:rsidR="00580188" w:rsidRPr="005564BD">
        <w:rPr>
          <w:sz w:val="20"/>
          <w:szCs w:val="20"/>
        </w:rPr>
        <w:t xml:space="preserve">companion </w:t>
      </w:r>
      <w:r w:rsidR="00D86A5E" w:rsidRPr="005564BD">
        <w:rPr>
          <w:sz w:val="20"/>
          <w:szCs w:val="20"/>
        </w:rPr>
        <w:t xml:space="preserve">reports on </w:t>
      </w:r>
      <w:r w:rsidR="00580188" w:rsidRPr="005564BD">
        <w:rPr>
          <w:sz w:val="20"/>
          <w:szCs w:val="20"/>
        </w:rPr>
        <w:t>entries and attainment at GCSE and A-Level</w:t>
      </w:r>
      <w:r w:rsidR="00D86A5E" w:rsidRPr="005564BD">
        <w:rPr>
          <w:sz w:val="20"/>
          <w:szCs w:val="20"/>
        </w:rPr>
        <w:t>, the school-age population has been getting more diverse during this period, so these sorts of changes are not unexpected.</w:t>
      </w:r>
    </w:p>
    <w:p w14:paraId="3B60A56D" w14:textId="4BB66074" w:rsidR="000418B2" w:rsidRPr="005564BD" w:rsidRDefault="000418B2" w:rsidP="00D40DEF">
      <w:pPr>
        <w:rPr>
          <w:sz w:val="20"/>
          <w:szCs w:val="20"/>
        </w:rPr>
      </w:pPr>
    </w:p>
    <w:p w14:paraId="2E9F20A0" w14:textId="39D8CDB0" w:rsidR="000418B2" w:rsidRPr="005564BD" w:rsidRDefault="000418B2" w:rsidP="00D40DEF">
      <w:pPr>
        <w:rPr>
          <w:sz w:val="20"/>
          <w:szCs w:val="20"/>
        </w:rPr>
      </w:pPr>
      <w:r w:rsidRPr="005564BD">
        <w:rPr>
          <w:sz w:val="20"/>
          <w:szCs w:val="20"/>
        </w:rPr>
        <w:t xml:space="preserve">Generally, white students were slightly more likely to complete their degree than students from other ethnic groups, </w:t>
      </w:r>
      <w:proofErr w:type="gramStart"/>
      <w:r w:rsidRPr="005564BD">
        <w:rPr>
          <w:sz w:val="20"/>
          <w:szCs w:val="20"/>
        </w:rPr>
        <w:t>with the exception of</w:t>
      </w:r>
      <w:proofErr w:type="gramEnd"/>
      <w:r w:rsidRPr="005564BD">
        <w:rPr>
          <w:sz w:val="20"/>
          <w:szCs w:val="20"/>
        </w:rPr>
        <w:t xml:space="preserve"> black students. Black students were much less likely to complete than students from any other group; in 2018, only 66% completed their degree, compared to a completion rate of 86% for all students.</w:t>
      </w:r>
    </w:p>
    <w:p w14:paraId="7C950E75" w14:textId="68044A5F" w:rsidR="000418B2" w:rsidRPr="005564BD" w:rsidRDefault="000418B2" w:rsidP="000418B2">
      <w:pPr>
        <w:pStyle w:val="Heading3"/>
        <w:contextualSpacing/>
        <w:rPr>
          <w:rFonts w:ascii="Calibri" w:eastAsia="Times New Roman" w:hAnsi="Calibri" w:cs="Calibri"/>
          <w:color w:val="auto"/>
          <w:sz w:val="20"/>
          <w:szCs w:val="20"/>
        </w:rPr>
      </w:pPr>
    </w:p>
    <w:p w14:paraId="7618A9B9" w14:textId="6B98E65F" w:rsidR="00673C65" w:rsidRPr="005564BD" w:rsidRDefault="00673C65" w:rsidP="00673C65">
      <w:pPr>
        <w:pStyle w:val="Heading3"/>
        <w:contextualSpacing/>
        <w:rPr>
          <w:rFonts w:ascii="Calibri" w:eastAsia="Times New Roman" w:hAnsi="Calibri" w:cs="Calibri"/>
          <w:sz w:val="20"/>
          <w:szCs w:val="20"/>
        </w:rPr>
      </w:pPr>
      <w:bookmarkStart w:id="30" w:name="_Toc22201429"/>
      <w:r w:rsidRPr="005564BD">
        <w:rPr>
          <w:rFonts w:ascii="Calibri" w:eastAsia="Times New Roman" w:hAnsi="Calibri" w:cs="Calibri"/>
          <w:sz w:val="20"/>
          <w:szCs w:val="20"/>
        </w:rPr>
        <w:t>3.3 POLAR</w:t>
      </w:r>
      <w:bookmarkEnd w:id="30"/>
    </w:p>
    <w:p w14:paraId="1AA0C3DF" w14:textId="33059BE3" w:rsidR="00673C65" w:rsidRPr="005564BD" w:rsidRDefault="00D40DEF" w:rsidP="00673C65">
      <w:pPr>
        <w:rPr>
          <w:sz w:val="20"/>
          <w:szCs w:val="20"/>
        </w:rPr>
      </w:pPr>
      <w:r w:rsidRPr="005564BD">
        <w:rPr>
          <w:sz w:val="20"/>
          <w:szCs w:val="20"/>
        </w:rPr>
        <w:t>Participation</w:t>
      </w:r>
      <w:r w:rsidR="00673C65" w:rsidRPr="005564BD">
        <w:rPr>
          <w:sz w:val="20"/>
          <w:szCs w:val="20"/>
        </w:rPr>
        <w:t xml:space="preserve"> of local area (POLAR) </w:t>
      </w:r>
      <w:r w:rsidRPr="005564BD">
        <w:rPr>
          <w:sz w:val="20"/>
          <w:szCs w:val="20"/>
        </w:rPr>
        <w:t>classification</w:t>
      </w:r>
      <w:r w:rsidR="00673C65" w:rsidRPr="005564BD">
        <w:rPr>
          <w:sz w:val="20"/>
          <w:szCs w:val="20"/>
        </w:rPr>
        <w:t xml:space="preserve"> measures the proportion of young people from an area who </w:t>
      </w:r>
      <w:r w:rsidRPr="005564BD">
        <w:rPr>
          <w:sz w:val="20"/>
          <w:szCs w:val="20"/>
        </w:rPr>
        <w:t>participate</w:t>
      </w:r>
      <w:r w:rsidR="00673C65" w:rsidRPr="005564BD">
        <w:rPr>
          <w:sz w:val="20"/>
          <w:szCs w:val="20"/>
        </w:rPr>
        <w:t xml:space="preserve"> in higher education. Here, we have split areas into five groups, or quintiles. The first quintile includes students from areas with the lowest </w:t>
      </w:r>
      <w:r w:rsidRPr="005564BD">
        <w:rPr>
          <w:sz w:val="20"/>
          <w:szCs w:val="20"/>
        </w:rPr>
        <w:t>participation</w:t>
      </w:r>
      <w:r w:rsidR="00673C65" w:rsidRPr="005564BD">
        <w:rPr>
          <w:sz w:val="20"/>
          <w:szCs w:val="20"/>
        </w:rPr>
        <w:t xml:space="preserve">, and the fifth the </w:t>
      </w:r>
      <w:r w:rsidRPr="005564BD">
        <w:rPr>
          <w:sz w:val="20"/>
          <w:szCs w:val="20"/>
        </w:rPr>
        <w:t>students</w:t>
      </w:r>
      <w:r w:rsidR="00673C65" w:rsidRPr="005564BD">
        <w:rPr>
          <w:sz w:val="20"/>
          <w:szCs w:val="20"/>
        </w:rPr>
        <w:t xml:space="preserve"> from areas with the highest participation. </w:t>
      </w:r>
    </w:p>
    <w:p w14:paraId="248711AA" w14:textId="77777777" w:rsidR="00673C65" w:rsidRPr="005564BD" w:rsidRDefault="00673C65" w:rsidP="00673C65">
      <w:pPr>
        <w:rPr>
          <w:sz w:val="20"/>
          <w:szCs w:val="20"/>
        </w:rPr>
      </w:pPr>
    </w:p>
    <w:p w14:paraId="6CBD5D74" w14:textId="548526AA" w:rsidR="00673C65" w:rsidRPr="005564BD" w:rsidRDefault="00D40DEF" w:rsidP="00673C65">
      <w:pPr>
        <w:rPr>
          <w:sz w:val="20"/>
          <w:szCs w:val="20"/>
        </w:rPr>
      </w:pPr>
      <w:r w:rsidRPr="005564BD">
        <w:rPr>
          <w:sz w:val="20"/>
          <w:szCs w:val="20"/>
        </w:rPr>
        <w:t>Unsurprisingly</w:t>
      </w:r>
      <w:r w:rsidR="00673C65" w:rsidRPr="005564BD">
        <w:rPr>
          <w:sz w:val="20"/>
          <w:szCs w:val="20"/>
        </w:rPr>
        <w:t xml:space="preserve">, a lower proportion of geography undergraduates came from areas in the first quintile than in any other quintile; this </w:t>
      </w:r>
      <w:r w:rsidR="00413DC9" w:rsidRPr="005564BD">
        <w:rPr>
          <w:sz w:val="20"/>
          <w:szCs w:val="20"/>
        </w:rPr>
        <w:t>was consistently around 6-7%</w:t>
      </w:r>
      <w:r w:rsidR="00673C65" w:rsidRPr="005564BD">
        <w:rPr>
          <w:sz w:val="20"/>
          <w:szCs w:val="20"/>
        </w:rPr>
        <w:t xml:space="preserve"> between 2005 and 2018. The lowest point came in 2012</w:t>
      </w:r>
      <w:r w:rsidR="00413DC9" w:rsidRPr="005564BD">
        <w:rPr>
          <w:sz w:val="20"/>
          <w:szCs w:val="20"/>
        </w:rPr>
        <w:t>. The proportion of students from the highest quintile increased from 38% in 2005 to 41% in 2018.</w:t>
      </w:r>
    </w:p>
    <w:p w14:paraId="542E1BBB" w14:textId="77777777" w:rsidR="00673C65" w:rsidRPr="005564BD" w:rsidRDefault="00673C65" w:rsidP="00673C65">
      <w:pPr>
        <w:rPr>
          <w:sz w:val="20"/>
          <w:szCs w:val="20"/>
        </w:rPr>
      </w:pPr>
    </w:p>
    <w:p w14:paraId="2DBEACA7" w14:textId="0FA05439" w:rsidR="00673C65" w:rsidRPr="005564BD" w:rsidRDefault="00673C65" w:rsidP="00673C65">
      <w:pPr>
        <w:rPr>
          <w:sz w:val="20"/>
          <w:szCs w:val="20"/>
        </w:rPr>
      </w:pPr>
      <w:r w:rsidRPr="005564BD">
        <w:rPr>
          <w:sz w:val="20"/>
          <w:szCs w:val="20"/>
        </w:rPr>
        <w:t xml:space="preserve">Generally, the higher the quintile, the more likely a student was to complete their degree. Of those students who started a geography degree in 2015, for example, </w:t>
      </w:r>
      <w:r w:rsidR="00413DC9" w:rsidRPr="005564BD">
        <w:rPr>
          <w:sz w:val="20"/>
          <w:szCs w:val="20"/>
        </w:rPr>
        <w:t>78%</w:t>
      </w:r>
      <w:r w:rsidRPr="005564BD">
        <w:rPr>
          <w:sz w:val="20"/>
          <w:szCs w:val="20"/>
        </w:rPr>
        <w:t xml:space="preserve"> of students in the lowest quintile completed their degree by 2018, compared to </w:t>
      </w:r>
      <w:r w:rsidR="00413DC9" w:rsidRPr="005564BD">
        <w:rPr>
          <w:sz w:val="20"/>
          <w:szCs w:val="20"/>
        </w:rPr>
        <w:t xml:space="preserve">88% </w:t>
      </w:r>
      <w:r w:rsidRPr="005564BD">
        <w:rPr>
          <w:sz w:val="20"/>
          <w:szCs w:val="20"/>
        </w:rPr>
        <w:t>of students in the highest quintile.</w:t>
      </w:r>
    </w:p>
    <w:p w14:paraId="14CBC1D0" w14:textId="0AEEE1C9" w:rsidR="00AF161A" w:rsidRPr="005564BD" w:rsidRDefault="00AF161A" w:rsidP="00673C65">
      <w:pPr>
        <w:rPr>
          <w:sz w:val="20"/>
          <w:szCs w:val="20"/>
        </w:rPr>
      </w:pPr>
    </w:p>
    <w:p w14:paraId="063A3C4D" w14:textId="5D0F4DF1" w:rsidR="00AF161A" w:rsidRPr="005564BD" w:rsidRDefault="00AF161A" w:rsidP="00AF161A">
      <w:pPr>
        <w:pStyle w:val="Heading3"/>
        <w:contextualSpacing/>
        <w:rPr>
          <w:rFonts w:ascii="Calibri" w:eastAsia="Times New Roman" w:hAnsi="Calibri" w:cs="Calibri"/>
          <w:sz w:val="20"/>
          <w:szCs w:val="20"/>
        </w:rPr>
      </w:pPr>
      <w:bookmarkStart w:id="31" w:name="_Toc22201430"/>
      <w:r w:rsidRPr="005564BD">
        <w:rPr>
          <w:rFonts w:ascii="Calibri" w:eastAsia="Times New Roman" w:hAnsi="Calibri" w:cs="Calibri"/>
          <w:sz w:val="20"/>
          <w:szCs w:val="20"/>
        </w:rPr>
        <w:lastRenderedPageBreak/>
        <w:t>3.4 IDACI</w:t>
      </w:r>
      <w:bookmarkEnd w:id="31"/>
    </w:p>
    <w:p w14:paraId="08A5AD58" w14:textId="41F77E08" w:rsidR="009D443A" w:rsidRPr="005564BD" w:rsidRDefault="009D443A" w:rsidP="009D443A">
      <w:pPr>
        <w:rPr>
          <w:sz w:val="20"/>
          <w:szCs w:val="20"/>
        </w:rPr>
      </w:pPr>
      <w:r w:rsidRPr="005564BD">
        <w:rPr>
          <w:sz w:val="20"/>
          <w:szCs w:val="20"/>
        </w:rPr>
        <w:t xml:space="preserve">The Income Deprivation Affecting Children Index (IDACI) is a commonly used measure of the </w:t>
      </w:r>
      <w:r w:rsidR="00D40DEF" w:rsidRPr="005564BD">
        <w:rPr>
          <w:sz w:val="20"/>
          <w:szCs w:val="20"/>
        </w:rPr>
        <w:t>deprivation</w:t>
      </w:r>
      <w:r w:rsidRPr="005564BD">
        <w:rPr>
          <w:sz w:val="20"/>
          <w:szCs w:val="20"/>
        </w:rPr>
        <w:t xml:space="preserve"> of children in an area. </w:t>
      </w:r>
      <w:r w:rsidR="00D40DEF" w:rsidRPr="005564BD">
        <w:rPr>
          <w:sz w:val="20"/>
          <w:szCs w:val="20"/>
        </w:rPr>
        <w:t>Specifically</w:t>
      </w:r>
      <w:r w:rsidRPr="005564BD">
        <w:rPr>
          <w:sz w:val="20"/>
          <w:szCs w:val="20"/>
        </w:rPr>
        <w:t>, it measures the proportion of children (defined as those between 0-15 years old) living in income deprived families. Here, as with POLAR classification, we have split areas into quintiles. Quintile one includes students from the most deprived areas, and quintile five the least deprived.</w:t>
      </w:r>
    </w:p>
    <w:p w14:paraId="56F7BF24" w14:textId="77777777" w:rsidR="009D443A" w:rsidRPr="005564BD" w:rsidRDefault="009D443A" w:rsidP="009D443A">
      <w:pPr>
        <w:rPr>
          <w:sz w:val="20"/>
          <w:szCs w:val="20"/>
        </w:rPr>
      </w:pPr>
    </w:p>
    <w:p w14:paraId="796CAE6D" w14:textId="4C14F1BB" w:rsidR="009D443A" w:rsidRPr="005564BD" w:rsidRDefault="009D443A" w:rsidP="009D443A">
      <w:pPr>
        <w:rPr>
          <w:sz w:val="20"/>
          <w:szCs w:val="20"/>
        </w:rPr>
      </w:pPr>
      <w:r w:rsidRPr="005564BD">
        <w:rPr>
          <w:sz w:val="20"/>
          <w:szCs w:val="20"/>
        </w:rPr>
        <w:t>A higher proportion of geography undergraduates (36% in 2018) come from the least deprived quintile than any other. The proportion of students from the most deprived quintile is lower than that from any other, although it has increased in the years since 2012, when it was at a low of 5%, to 7% in 2018.</w:t>
      </w:r>
    </w:p>
    <w:p w14:paraId="596C9072" w14:textId="77777777" w:rsidR="009D443A" w:rsidRPr="005564BD" w:rsidRDefault="009D443A" w:rsidP="009D443A">
      <w:pPr>
        <w:rPr>
          <w:sz w:val="20"/>
          <w:szCs w:val="20"/>
        </w:rPr>
      </w:pPr>
    </w:p>
    <w:p w14:paraId="095890D9" w14:textId="2762D2C9" w:rsidR="00AF161A" w:rsidRPr="005564BD" w:rsidRDefault="009D443A" w:rsidP="009D443A">
      <w:pPr>
        <w:rPr>
          <w:sz w:val="20"/>
          <w:szCs w:val="20"/>
        </w:rPr>
      </w:pPr>
      <w:proofErr w:type="gramStart"/>
      <w:r w:rsidRPr="005564BD">
        <w:rPr>
          <w:sz w:val="20"/>
          <w:szCs w:val="20"/>
        </w:rPr>
        <w:t>Similarly</w:t>
      </w:r>
      <w:proofErr w:type="gramEnd"/>
      <w:r w:rsidRPr="005564BD">
        <w:rPr>
          <w:sz w:val="20"/>
          <w:szCs w:val="20"/>
        </w:rPr>
        <w:t xml:space="preserve"> to the pattern seen with POLAR quintiles, students from the lowest (most deprived) quintiles were less likely to complete their degree than the least deprived. Of those students who started a geography degree in 2015, 78% of students in the lowest quintile completed their degree by 2018, compared to 88% of students in the highest quintile.</w:t>
      </w:r>
      <w:r w:rsidR="00C93B45" w:rsidRPr="005564BD">
        <w:rPr>
          <w:sz w:val="20"/>
          <w:szCs w:val="20"/>
        </w:rPr>
        <w:t xml:space="preserve"> </w:t>
      </w:r>
      <w:r w:rsidR="00D40DEF" w:rsidRPr="005564BD">
        <w:rPr>
          <w:sz w:val="20"/>
          <w:szCs w:val="20"/>
        </w:rPr>
        <w:t>Coincidentally</w:t>
      </w:r>
      <w:r w:rsidR="00C93B45" w:rsidRPr="005564BD">
        <w:rPr>
          <w:sz w:val="20"/>
          <w:szCs w:val="20"/>
        </w:rPr>
        <w:t xml:space="preserve">, these proportions are the same as those for the highest and lowest POLAR quintiles. </w:t>
      </w:r>
    </w:p>
    <w:p w14:paraId="5E8EBF80" w14:textId="55C724F2" w:rsidR="00C93B45" w:rsidRPr="005564BD" w:rsidRDefault="00C93B45" w:rsidP="009D443A">
      <w:pPr>
        <w:rPr>
          <w:sz w:val="20"/>
          <w:szCs w:val="20"/>
        </w:rPr>
      </w:pPr>
    </w:p>
    <w:p w14:paraId="30F8BB34" w14:textId="169C19BA" w:rsidR="00C93B45" w:rsidRPr="005564BD" w:rsidRDefault="00C93B45" w:rsidP="00C93B45">
      <w:pPr>
        <w:pStyle w:val="Heading3"/>
        <w:contextualSpacing/>
        <w:rPr>
          <w:rFonts w:ascii="Calibri" w:eastAsia="Times New Roman" w:hAnsi="Calibri" w:cs="Calibri"/>
          <w:sz w:val="20"/>
          <w:szCs w:val="20"/>
        </w:rPr>
      </w:pPr>
      <w:bookmarkStart w:id="32" w:name="_Toc22201431"/>
      <w:r w:rsidRPr="005564BD">
        <w:rPr>
          <w:rFonts w:ascii="Calibri" w:eastAsia="Times New Roman" w:hAnsi="Calibri" w:cs="Calibri"/>
          <w:sz w:val="20"/>
          <w:szCs w:val="20"/>
        </w:rPr>
        <w:t>3.5 Prior attainment</w:t>
      </w:r>
      <w:bookmarkEnd w:id="32"/>
    </w:p>
    <w:p w14:paraId="7D93BFB8" w14:textId="4C51A6B3" w:rsidR="00C93B45" w:rsidRPr="005564BD" w:rsidRDefault="001C657D" w:rsidP="009A4926">
      <w:pPr>
        <w:pStyle w:val="Heading4"/>
        <w:spacing w:before="0"/>
        <w:rPr>
          <w:rFonts w:ascii="Calibri" w:hAnsi="Calibri" w:cs="Calibri"/>
          <w:sz w:val="20"/>
          <w:szCs w:val="20"/>
        </w:rPr>
      </w:pPr>
      <w:r w:rsidRPr="005564BD">
        <w:rPr>
          <w:rFonts w:ascii="Calibri" w:hAnsi="Calibri" w:cs="Calibri"/>
          <w:sz w:val="20"/>
          <w:szCs w:val="20"/>
        </w:rPr>
        <w:t>Qualification type</w:t>
      </w:r>
    </w:p>
    <w:p w14:paraId="2C3A937C" w14:textId="5862649B" w:rsidR="00C93B45" w:rsidRPr="005564BD" w:rsidRDefault="00C93B45" w:rsidP="00C93B45">
      <w:pPr>
        <w:rPr>
          <w:sz w:val="20"/>
          <w:szCs w:val="20"/>
        </w:rPr>
      </w:pPr>
      <w:r w:rsidRPr="005564BD">
        <w:rPr>
          <w:sz w:val="20"/>
          <w:szCs w:val="20"/>
        </w:rPr>
        <w:t xml:space="preserve">Unsurprisingly, in every year considered in this report, </w:t>
      </w:r>
      <w:proofErr w:type="gramStart"/>
      <w:r w:rsidRPr="005564BD">
        <w:rPr>
          <w:sz w:val="20"/>
          <w:szCs w:val="20"/>
        </w:rPr>
        <w:t>the vast majority of</w:t>
      </w:r>
      <w:proofErr w:type="gramEnd"/>
      <w:r w:rsidRPr="005564BD">
        <w:rPr>
          <w:sz w:val="20"/>
          <w:szCs w:val="20"/>
        </w:rPr>
        <w:t xml:space="preserve"> geography undergraduates had</w:t>
      </w:r>
      <w:r w:rsidR="00580188" w:rsidRPr="005564BD">
        <w:rPr>
          <w:sz w:val="20"/>
          <w:szCs w:val="20"/>
        </w:rPr>
        <w:t xml:space="preserve"> completed</w:t>
      </w:r>
      <w:r w:rsidRPr="005564BD">
        <w:rPr>
          <w:sz w:val="20"/>
          <w:szCs w:val="20"/>
        </w:rPr>
        <w:t xml:space="preserve"> an A-Level in geography</w:t>
      </w:r>
      <w:r w:rsidR="00580188" w:rsidRPr="005564BD">
        <w:rPr>
          <w:sz w:val="20"/>
          <w:szCs w:val="20"/>
        </w:rPr>
        <w:t xml:space="preserve"> in England</w:t>
      </w:r>
      <w:r w:rsidR="00580188" w:rsidRPr="005564BD">
        <w:rPr>
          <w:rStyle w:val="FootnoteReference"/>
          <w:sz w:val="20"/>
          <w:szCs w:val="20"/>
        </w:rPr>
        <w:footnoteReference w:id="5"/>
      </w:r>
      <w:r w:rsidRPr="005564BD">
        <w:rPr>
          <w:sz w:val="20"/>
          <w:szCs w:val="20"/>
        </w:rPr>
        <w:t xml:space="preserve">. The proportion has fallen slightly, </w:t>
      </w:r>
      <w:r w:rsidR="001C657D" w:rsidRPr="005564BD">
        <w:rPr>
          <w:sz w:val="20"/>
          <w:szCs w:val="20"/>
        </w:rPr>
        <w:t>from 89% in 2005 to 86%</w:t>
      </w:r>
      <w:r w:rsidRPr="005564BD">
        <w:rPr>
          <w:sz w:val="20"/>
          <w:szCs w:val="20"/>
        </w:rPr>
        <w:t xml:space="preserve"> in 2018. A similar trend can be seen in the proportion of students with at least one A-Level in any subject; this fell from </w:t>
      </w:r>
      <w:r w:rsidR="001C657D" w:rsidRPr="005564BD">
        <w:rPr>
          <w:sz w:val="20"/>
          <w:szCs w:val="20"/>
        </w:rPr>
        <w:t>95% to 90% over the same period.</w:t>
      </w:r>
    </w:p>
    <w:p w14:paraId="5E38BDFB" w14:textId="77777777" w:rsidR="00C93B45" w:rsidRPr="005564BD" w:rsidRDefault="00C93B45" w:rsidP="00C93B45">
      <w:pPr>
        <w:rPr>
          <w:sz w:val="20"/>
          <w:szCs w:val="20"/>
        </w:rPr>
      </w:pPr>
    </w:p>
    <w:p w14:paraId="41DD4064" w14:textId="167DF2C3" w:rsidR="00C93B45" w:rsidRPr="005564BD" w:rsidRDefault="00C93B45" w:rsidP="00C93B45">
      <w:pPr>
        <w:rPr>
          <w:sz w:val="20"/>
          <w:szCs w:val="20"/>
        </w:rPr>
      </w:pPr>
      <w:r w:rsidRPr="005564BD">
        <w:rPr>
          <w:sz w:val="20"/>
          <w:szCs w:val="20"/>
        </w:rPr>
        <w:t xml:space="preserve">The number of students with vocational qualifications increased from 2005-2018, although it remains low; only </w:t>
      </w:r>
      <w:r w:rsidR="001C657D" w:rsidRPr="005564BD">
        <w:rPr>
          <w:sz w:val="20"/>
          <w:szCs w:val="20"/>
        </w:rPr>
        <w:t>585</w:t>
      </w:r>
      <w:r w:rsidRPr="005564BD">
        <w:rPr>
          <w:sz w:val="20"/>
          <w:szCs w:val="20"/>
        </w:rPr>
        <w:t xml:space="preserve"> students</w:t>
      </w:r>
      <w:r w:rsidR="001C657D" w:rsidRPr="005564BD">
        <w:rPr>
          <w:sz w:val="20"/>
          <w:szCs w:val="20"/>
        </w:rPr>
        <w:t>, 8% of entrants,</w:t>
      </w:r>
      <w:r w:rsidRPr="005564BD">
        <w:rPr>
          <w:sz w:val="20"/>
          <w:szCs w:val="20"/>
        </w:rPr>
        <w:t xml:space="preserve"> had some sort of vocational qualification in 2018. </w:t>
      </w:r>
    </w:p>
    <w:p w14:paraId="5FFC1FFB" w14:textId="77777777" w:rsidR="00C93B45" w:rsidRPr="005564BD" w:rsidRDefault="00C93B45" w:rsidP="00C93B45">
      <w:pPr>
        <w:rPr>
          <w:sz w:val="20"/>
          <w:szCs w:val="20"/>
        </w:rPr>
      </w:pPr>
    </w:p>
    <w:p w14:paraId="6663D059" w14:textId="1A514421" w:rsidR="00C93B45" w:rsidRPr="005564BD" w:rsidRDefault="00C93B45" w:rsidP="001C657D">
      <w:pPr>
        <w:pStyle w:val="Heading4"/>
        <w:rPr>
          <w:rFonts w:ascii="Calibri" w:hAnsi="Calibri" w:cs="Calibri"/>
          <w:sz w:val="20"/>
          <w:szCs w:val="20"/>
        </w:rPr>
      </w:pPr>
      <w:r w:rsidRPr="005564BD">
        <w:rPr>
          <w:rFonts w:ascii="Calibri" w:hAnsi="Calibri" w:cs="Calibri"/>
          <w:sz w:val="20"/>
          <w:szCs w:val="20"/>
        </w:rPr>
        <w:t>Attainment</w:t>
      </w:r>
    </w:p>
    <w:p w14:paraId="1E3CE351" w14:textId="77777777" w:rsidR="00C93B45" w:rsidRPr="005564BD" w:rsidRDefault="00C93B45" w:rsidP="00C93B45">
      <w:pPr>
        <w:rPr>
          <w:sz w:val="20"/>
          <w:szCs w:val="20"/>
        </w:rPr>
      </w:pPr>
      <w:r w:rsidRPr="005564BD">
        <w:rPr>
          <w:sz w:val="20"/>
          <w:szCs w:val="20"/>
        </w:rPr>
        <w:t>We looked at attainment using two measures: mean points score at geography A-Level (for those students who took A-Level geography) and mean points score across the best three A-Levels (for those students who took at least three A-Levels).</w:t>
      </w:r>
    </w:p>
    <w:p w14:paraId="20E94D01" w14:textId="77777777" w:rsidR="00C93B45" w:rsidRPr="005564BD" w:rsidRDefault="00C93B45" w:rsidP="00C93B45">
      <w:pPr>
        <w:rPr>
          <w:sz w:val="20"/>
          <w:szCs w:val="20"/>
        </w:rPr>
      </w:pPr>
    </w:p>
    <w:p w14:paraId="6ACE44D7" w14:textId="0626438B" w:rsidR="00C93B45" w:rsidRPr="005564BD" w:rsidRDefault="00C93B45" w:rsidP="00C93B45">
      <w:pPr>
        <w:rPr>
          <w:sz w:val="20"/>
          <w:szCs w:val="20"/>
        </w:rPr>
      </w:pPr>
      <w:r w:rsidRPr="005564BD">
        <w:rPr>
          <w:sz w:val="20"/>
          <w:szCs w:val="20"/>
        </w:rPr>
        <w:t>Trends were similar for both measures. Mean attainment at A-Level was higher each year until a peak in 2012, after which it fell each year until 2017. In 2018, the geography attainment measure was marginally smaller than in 2017, and the best three measure was slightly higher.</w:t>
      </w:r>
    </w:p>
    <w:p w14:paraId="04F9D6A9" w14:textId="77777777" w:rsidR="00D40DEF" w:rsidRPr="005564BD" w:rsidRDefault="00D40DEF" w:rsidP="00C93B45">
      <w:pPr>
        <w:rPr>
          <w:sz w:val="20"/>
          <w:szCs w:val="20"/>
        </w:rPr>
      </w:pPr>
    </w:p>
    <w:p w14:paraId="00050FA8" w14:textId="1DE7B11C" w:rsidR="003B78CE" w:rsidRPr="005564BD" w:rsidRDefault="009135D2" w:rsidP="00B8758E">
      <w:pPr>
        <w:pStyle w:val="Heading2"/>
        <w:numPr>
          <w:ilvl w:val="0"/>
          <w:numId w:val="24"/>
        </w:numPr>
        <w:contextualSpacing/>
        <w:rPr>
          <w:rFonts w:ascii="Calibri" w:hAnsi="Calibri" w:cs="Calibri"/>
          <w:sz w:val="20"/>
          <w:szCs w:val="20"/>
        </w:rPr>
      </w:pPr>
      <w:bookmarkStart w:id="33" w:name="_Toc22201432"/>
      <w:r w:rsidRPr="005564BD">
        <w:rPr>
          <w:rFonts w:ascii="Calibri" w:hAnsi="Calibri" w:cs="Calibri"/>
          <w:sz w:val="20"/>
          <w:szCs w:val="20"/>
        </w:rPr>
        <w:t>Establishment</w:t>
      </w:r>
      <w:r w:rsidR="003B78CE" w:rsidRPr="005564BD">
        <w:rPr>
          <w:rFonts w:ascii="Calibri" w:hAnsi="Calibri" w:cs="Calibri"/>
          <w:sz w:val="20"/>
          <w:szCs w:val="20"/>
        </w:rPr>
        <w:t xml:space="preserve"> characteristics</w:t>
      </w:r>
      <w:bookmarkEnd w:id="33"/>
    </w:p>
    <w:p w14:paraId="6576B5EA" w14:textId="77777777" w:rsidR="00B8758E" w:rsidRPr="005564BD" w:rsidRDefault="00B8758E" w:rsidP="00B8758E">
      <w:pPr>
        <w:rPr>
          <w:sz w:val="20"/>
          <w:szCs w:val="20"/>
        </w:rPr>
      </w:pPr>
    </w:p>
    <w:p w14:paraId="5D365501" w14:textId="4709B060" w:rsidR="003B78CE" w:rsidRPr="005564BD" w:rsidRDefault="003F0436" w:rsidP="003B78CE">
      <w:pPr>
        <w:pStyle w:val="Heading3"/>
        <w:contextualSpacing/>
        <w:rPr>
          <w:rFonts w:ascii="Calibri" w:eastAsia="Times New Roman" w:hAnsi="Calibri" w:cs="Calibri"/>
          <w:sz w:val="20"/>
          <w:szCs w:val="20"/>
        </w:rPr>
      </w:pPr>
      <w:bookmarkStart w:id="34" w:name="_Toc22201433"/>
      <w:r w:rsidRPr="005564BD">
        <w:rPr>
          <w:rFonts w:ascii="Calibri" w:eastAsia="Times New Roman" w:hAnsi="Calibri" w:cs="Calibri"/>
          <w:sz w:val="20"/>
          <w:szCs w:val="20"/>
        </w:rPr>
        <w:t>4.</w:t>
      </w:r>
      <w:r w:rsidR="003B78CE" w:rsidRPr="005564BD">
        <w:rPr>
          <w:rFonts w:ascii="Calibri" w:eastAsia="Times New Roman" w:hAnsi="Calibri" w:cs="Calibri"/>
          <w:sz w:val="20"/>
          <w:szCs w:val="20"/>
        </w:rPr>
        <w:t xml:space="preserve">1 </w:t>
      </w:r>
      <w:r w:rsidR="00233AE8" w:rsidRPr="005564BD">
        <w:rPr>
          <w:rFonts w:ascii="Calibri" w:eastAsia="Times New Roman" w:hAnsi="Calibri" w:cs="Calibri"/>
          <w:sz w:val="20"/>
          <w:szCs w:val="20"/>
        </w:rPr>
        <w:t>HEI group</w:t>
      </w:r>
      <w:bookmarkEnd w:id="34"/>
    </w:p>
    <w:p w14:paraId="0918CDE4" w14:textId="1E1E75AF" w:rsidR="00233AE8" w:rsidRPr="005564BD" w:rsidRDefault="00233AE8" w:rsidP="00D40DEF">
      <w:pPr>
        <w:rPr>
          <w:sz w:val="20"/>
          <w:szCs w:val="20"/>
        </w:rPr>
      </w:pPr>
      <w:proofErr w:type="gramStart"/>
      <w:r w:rsidRPr="005564BD">
        <w:rPr>
          <w:sz w:val="20"/>
          <w:szCs w:val="20"/>
        </w:rPr>
        <w:t>The majority of</w:t>
      </w:r>
      <w:proofErr w:type="gramEnd"/>
      <w:r w:rsidRPr="005564BD">
        <w:rPr>
          <w:sz w:val="20"/>
          <w:szCs w:val="20"/>
        </w:rPr>
        <w:t xml:space="preserve"> geography students, </w:t>
      </w:r>
      <w:r w:rsidR="00CB6AEB" w:rsidRPr="005564BD">
        <w:rPr>
          <w:sz w:val="20"/>
          <w:szCs w:val="20"/>
        </w:rPr>
        <w:t>64</w:t>
      </w:r>
      <w:r w:rsidRPr="005564BD">
        <w:rPr>
          <w:sz w:val="20"/>
          <w:szCs w:val="20"/>
        </w:rPr>
        <w:t>% in 2018, went to top third universi</w:t>
      </w:r>
      <w:r w:rsidR="00CB6AEB" w:rsidRPr="005564BD">
        <w:rPr>
          <w:sz w:val="20"/>
          <w:szCs w:val="20"/>
        </w:rPr>
        <w:t>ties, and a large proportion (51</w:t>
      </w:r>
      <w:r w:rsidRPr="005564BD">
        <w:rPr>
          <w:sz w:val="20"/>
          <w:szCs w:val="20"/>
        </w:rPr>
        <w:t xml:space="preserve">% in 2018) went to Russell Group universities. A substantial proportion attended University Alliance institutions, although this proportion has fallen from </w:t>
      </w:r>
      <w:r w:rsidR="00CB6AEB" w:rsidRPr="005564BD">
        <w:rPr>
          <w:sz w:val="20"/>
          <w:szCs w:val="20"/>
        </w:rPr>
        <w:t>22</w:t>
      </w:r>
      <w:r w:rsidRPr="005564BD">
        <w:rPr>
          <w:sz w:val="20"/>
          <w:szCs w:val="20"/>
        </w:rPr>
        <w:t>% in 2012 to</w:t>
      </w:r>
      <w:r w:rsidR="00CB6AEB" w:rsidRPr="005564BD">
        <w:rPr>
          <w:sz w:val="20"/>
          <w:szCs w:val="20"/>
        </w:rPr>
        <w:t xml:space="preserve"> 16</w:t>
      </w:r>
      <w:r w:rsidRPr="005564BD">
        <w:rPr>
          <w:sz w:val="20"/>
          <w:szCs w:val="20"/>
        </w:rPr>
        <w:t xml:space="preserve">% in 2018. Attending universities in the other </w:t>
      </w:r>
      <w:r w:rsidR="00CB6AEB" w:rsidRPr="005564BD">
        <w:rPr>
          <w:sz w:val="20"/>
          <w:szCs w:val="20"/>
        </w:rPr>
        <w:t>groups was unusual, with only 3</w:t>
      </w:r>
      <w:r w:rsidRPr="005564BD">
        <w:rPr>
          <w:sz w:val="20"/>
          <w:szCs w:val="20"/>
        </w:rPr>
        <w:t xml:space="preserve">%, </w:t>
      </w:r>
      <w:r w:rsidR="00CB6AEB" w:rsidRPr="005564BD">
        <w:rPr>
          <w:sz w:val="20"/>
          <w:szCs w:val="20"/>
        </w:rPr>
        <w:t>3%</w:t>
      </w:r>
      <w:r w:rsidRPr="005564BD">
        <w:rPr>
          <w:sz w:val="20"/>
          <w:szCs w:val="20"/>
        </w:rPr>
        <w:t xml:space="preserve"> and </w:t>
      </w:r>
      <w:r w:rsidR="00CB6AEB" w:rsidRPr="005564BD">
        <w:rPr>
          <w:sz w:val="20"/>
          <w:szCs w:val="20"/>
        </w:rPr>
        <w:t>4</w:t>
      </w:r>
      <w:r w:rsidRPr="005564BD">
        <w:rPr>
          <w:sz w:val="20"/>
          <w:szCs w:val="20"/>
        </w:rPr>
        <w:t>% attending Guild, Million+ or Cathedrals universities in 2018.</w:t>
      </w:r>
    </w:p>
    <w:p w14:paraId="179F573B" w14:textId="77777777" w:rsidR="00233AE8" w:rsidRPr="005564BD" w:rsidRDefault="00233AE8" w:rsidP="00D40DEF">
      <w:pPr>
        <w:rPr>
          <w:sz w:val="20"/>
          <w:szCs w:val="20"/>
        </w:rPr>
      </w:pPr>
    </w:p>
    <w:p w14:paraId="627C8FEB" w14:textId="7DEB6EE3" w:rsidR="00233AE8" w:rsidRPr="005564BD" w:rsidRDefault="00233AE8" w:rsidP="00D40DEF">
      <w:pPr>
        <w:rPr>
          <w:sz w:val="20"/>
          <w:szCs w:val="20"/>
        </w:rPr>
      </w:pPr>
      <w:r w:rsidRPr="005564BD">
        <w:rPr>
          <w:sz w:val="20"/>
          <w:szCs w:val="20"/>
        </w:rPr>
        <w:t>Students who studied geography at Russell Group or top third universities were more likely to complete their degree than those who studied at a university in one of the other groups.</w:t>
      </w:r>
    </w:p>
    <w:p w14:paraId="77DE59C3" w14:textId="77777777" w:rsidR="00233AE8" w:rsidRPr="005564BD" w:rsidRDefault="00233AE8" w:rsidP="009A4926">
      <w:pPr>
        <w:pStyle w:val="Heading3"/>
        <w:spacing w:before="0"/>
        <w:contextualSpacing/>
        <w:rPr>
          <w:rFonts w:ascii="Calibri" w:eastAsia="Times New Roman" w:hAnsi="Calibri" w:cs="Calibri"/>
          <w:sz w:val="20"/>
          <w:szCs w:val="20"/>
        </w:rPr>
      </w:pPr>
    </w:p>
    <w:p w14:paraId="49AA7945" w14:textId="43D9B3B4" w:rsidR="003B78CE" w:rsidRDefault="00233AE8" w:rsidP="005564BD">
      <w:pPr>
        <w:pStyle w:val="Heading3"/>
        <w:numPr>
          <w:ilvl w:val="1"/>
          <w:numId w:val="24"/>
        </w:numPr>
        <w:contextualSpacing/>
        <w:rPr>
          <w:rFonts w:ascii="Calibri" w:eastAsia="Times New Roman" w:hAnsi="Calibri" w:cs="Calibri"/>
          <w:sz w:val="20"/>
          <w:szCs w:val="20"/>
        </w:rPr>
      </w:pPr>
      <w:bookmarkStart w:id="35" w:name="_Toc22201434"/>
      <w:r w:rsidRPr="005564BD">
        <w:rPr>
          <w:rFonts w:ascii="Calibri" w:eastAsia="Times New Roman" w:hAnsi="Calibri" w:cs="Calibri"/>
          <w:sz w:val="20"/>
          <w:szCs w:val="20"/>
        </w:rPr>
        <w:t>School type</w:t>
      </w:r>
      <w:bookmarkEnd w:id="35"/>
    </w:p>
    <w:p w14:paraId="19A44E68" w14:textId="2EAB7FBE" w:rsidR="00233AE8" w:rsidRPr="005564BD" w:rsidRDefault="00233AE8" w:rsidP="00D40DEF">
      <w:pPr>
        <w:rPr>
          <w:sz w:val="20"/>
          <w:szCs w:val="20"/>
        </w:rPr>
      </w:pPr>
      <w:r w:rsidRPr="005564BD">
        <w:rPr>
          <w:sz w:val="20"/>
          <w:szCs w:val="20"/>
        </w:rPr>
        <w:t xml:space="preserve">This section looks at the proportion of geography undergraduates by the type of school in which they took their A-Levels. Schools are broken down into six types: selective state schools, non-selective state schools, independent schools, sixth forms, further education colleges, and other. The other group includes special schools and alternative provision. </w:t>
      </w:r>
    </w:p>
    <w:p w14:paraId="7DB31AD2" w14:textId="77777777" w:rsidR="009A4926" w:rsidRPr="005564BD" w:rsidRDefault="009A4926" w:rsidP="00D40DEF">
      <w:pPr>
        <w:rPr>
          <w:sz w:val="20"/>
          <w:szCs w:val="20"/>
        </w:rPr>
      </w:pPr>
    </w:p>
    <w:p w14:paraId="54976C9D" w14:textId="6F4B71F2" w:rsidR="003B78CE" w:rsidRPr="005564BD" w:rsidRDefault="00233AE8" w:rsidP="00D40DEF">
      <w:pPr>
        <w:rPr>
          <w:sz w:val="20"/>
          <w:szCs w:val="20"/>
        </w:rPr>
      </w:pPr>
      <w:r w:rsidRPr="005564BD">
        <w:rPr>
          <w:sz w:val="20"/>
          <w:szCs w:val="20"/>
        </w:rPr>
        <w:lastRenderedPageBreak/>
        <w:t xml:space="preserve">More students attended non-selective state schools than any other type of school; 48% in 2018. The next largest group were students who attended independent schools; around 20% of geography entrants attended this type of school. </w:t>
      </w:r>
    </w:p>
    <w:sectPr w:rsidR="003B78CE" w:rsidRPr="005564BD" w:rsidSect="003A144A">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56A0E" w14:textId="77777777" w:rsidR="00306D0A" w:rsidRDefault="00306D0A" w:rsidP="000F4E7E">
      <w:r>
        <w:separator/>
      </w:r>
    </w:p>
  </w:endnote>
  <w:endnote w:type="continuationSeparator" w:id="0">
    <w:p w14:paraId="08BE98B3" w14:textId="77777777" w:rsidR="00306D0A" w:rsidRDefault="00306D0A" w:rsidP="000F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55 Roman">
    <w:altName w:val="Malgun Gothic"/>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3685" w14:textId="1303F77A" w:rsidR="00C15089" w:rsidRDefault="00C15089">
    <w:pPr>
      <w:pStyle w:val="Footer"/>
      <w:jc w:val="center"/>
    </w:pPr>
  </w:p>
  <w:p w14:paraId="01EDF151" w14:textId="0FE16622" w:rsidR="00C15089" w:rsidRDefault="00C15089" w:rsidP="00CC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880768"/>
      <w:docPartObj>
        <w:docPartGallery w:val="Page Numbers (Bottom of Page)"/>
        <w:docPartUnique/>
      </w:docPartObj>
    </w:sdtPr>
    <w:sdtEndPr>
      <w:rPr>
        <w:noProof/>
      </w:rPr>
    </w:sdtEndPr>
    <w:sdtContent>
      <w:p w14:paraId="26F8875B" w14:textId="122349B8" w:rsidR="00C15089" w:rsidRDefault="00C15089">
        <w:pPr>
          <w:pStyle w:val="Footer"/>
          <w:jc w:val="center"/>
        </w:pPr>
        <w:r>
          <w:fldChar w:fldCharType="begin"/>
        </w:r>
        <w:r>
          <w:instrText xml:space="preserve"> PAGE   \* MERGEFORMAT </w:instrText>
        </w:r>
        <w:r>
          <w:fldChar w:fldCharType="separate"/>
        </w:r>
        <w:r w:rsidR="005564BD">
          <w:rPr>
            <w:noProof/>
          </w:rPr>
          <w:t>2</w:t>
        </w:r>
        <w:r>
          <w:rPr>
            <w:noProof/>
          </w:rPr>
          <w:fldChar w:fldCharType="end"/>
        </w:r>
      </w:p>
    </w:sdtContent>
  </w:sdt>
  <w:p w14:paraId="12612B48" w14:textId="4C2AF4A7" w:rsidR="00C15089" w:rsidRDefault="00C15089" w:rsidP="006D15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8F8DB" w14:textId="77777777" w:rsidR="00306D0A" w:rsidRDefault="00306D0A" w:rsidP="000F4E7E">
      <w:r>
        <w:separator/>
      </w:r>
    </w:p>
  </w:footnote>
  <w:footnote w:type="continuationSeparator" w:id="0">
    <w:p w14:paraId="49720053" w14:textId="77777777" w:rsidR="00306D0A" w:rsidRDefault="00306D0A" w:rsidP="000F4E7E">
      <w:r>
        <w:continuationSeparator/>
      </w:r>
    </w:p>
  </w:footnote>
  <w:footnote w:id="1">
    <w:p w14:paraId="71E42556" w14:textId="4541BA7B" w:rsidR="00580188" w:rsidRPr="005564BD" w:rsidRDefault="00580188">
      <w:pPr>
        <w:pStyle w:val="FootnoteText"/>
        <w:rPr>
          <w:sz w:val="18"/>
          <w:szCs w:val="18"/>
        </w:rPr>
      </w:pPr>
      <w:r>
        <w:rPr>
          <w:rStyle w:val="FootnoteReference"/>
        </w:rPr>
        <w:footnoteRef/>
      </w:r>
      <w:r>
        <w:t xml:space="preserve"> </w:t>
      </w:r>
      <w:r w:rsidRPr="005564BD">
        <w:rPr>
          <w:sz w:val="18"/>
          <w:szCs w:val="18"/>
        </w:rPr>
        <w:t>Throughout this report, years refer to the year in which the academic year finished – that is, 2010 refers to 2009/10, for example.</w:t>
      </w:r>
    </w:p>
  </w:footnote>
  <w:footnote w:id="2">
    <w:p w14:paraId="7F9B44FE" w14:textId="56224645" w:rsidR="00580188" w:rsidRPr="005564BD" w:rsidRDefault="00580188">
      <w:pPr>
        <w:pStyle w:val="FootnoteText"/>
        <w:rPr>
          <w:sz w:val="18"/>
          <w:szCs w:val="18"/>
        </w:rPr>
      </w:pPr>
      <w:r w:rsidRPr="005564BD">
        <w:rPr>
          <w:rStyle w:val="FootnoteReference"/>
          <w:sz w:val="18"/>
          <w:szCs w:val="18"/>
        </w:rPr>
        <w:footnoteRef/>
      </w:r>
      <w:r w:rsidRPr="005564BD">
        <w:rPr>
          <w:sz w:val="18"/>
          <w:szCs w:val="18"/>
        </w:rPr>
        <w:t xml:space="preserve"> The number of geography entrants in a particular year is defined as the number of students who began a degree in the relevant year. Through this report, the terms geography undergraduates or geography degree students will be used to refer to geography entrants, unless otherwise stated.</w:t>
      </w:r>
    </w:p>
  </w:footnote>
  <w:footnote w:id="3">
    <w:p w14:paraId="5842206D" w14:textId="31D2A383" w:rsidR="005564BD" w:rsidRPr="005564BD" w:rsidRDefault="005564BD" w:rsidP="005564BD">
      <w:pPr>
        <w:rPr>
          <w:sz w:val="18"/>
          <w:szCs w:val="18"/>
        </w:rPr>
      </w:pPr>
      <w:r w:rsidRPr="005564BD">
        <w:rPr>
          <w:rStyle w:val="FootnoteReference"/>
          <w:sz w:val="18"/>
          <w:szCs w:val="18"/>
        </w:rPr>
        <w:footnoteRef/>
      </w:r>
      <w:r w:rsidRPr="005564BD">
        <w:rPr>
          <w:sz w:val="18"/>
          <w:szCs w:val="18"/>
        </w:rPr>
        <w:t xml:space="preserve"> The dip in 2016 </w:t>
      </w:r>
      <w:r>
        <w:rPr>
          <w:sz w:val="18"/>
          <w:szCs w:val="18"/>
        </w:rPr>
        <w:t xml:space="preserve">(see excel sheets) </w:t>
      </w:r>
      <w:r w:rsidRPr="005564BD">
        <w:rPr>
          <w:sz w:val="18"/>
          <w:szCs w:val="18"/>
        </w:rPr>
        <w:t xml:space="preserve">is explained by students who began four year degree courses in that year, who would not have come to the end of their courses by the time the latest HESA data was published, or students who took more than three years to complete their degree for other reasons, rather than by an actual fall in completion. </w:t>
      </w:r>
    </w:p>
  </w:footnote>
  <w:footnote w:id="4">
    <w:p w14:paraId="23EC2EF6" w14:textId="36D2809D" w:rsidR="00580188" w:rsidRDefault="00580188">
      <w:pPr>
        <w:pStyle w:val="FootnoteText"/>
      </w:pPr>
      <w:r w:rsidRPr="005564BD">
        <w:rPr>
          <w:rStyle w:val="FootnoteReference"/>
          <w:sz w:val="18"/>
          <w:szCs w:val="18"/>
        </w:rPr>
        <w:footnoteRef/>
      </w:r>
      <w:r w:rsidRPr="005564BD">
        <w:rPr>
          <w:sz w:val="18"/>
          <w:szCs w:val="18"/>
        </w:rPr>
        <w:t xml:space="preserve"> Gender is categorised here in two groups: female and not female. The 'not female' category includes all students who did not identify as female. See the methodology document for more details on the categorisation of gender.</w:t>
      </w:r>
    </w:p>
  </w:footnote>
  <w:footnote w:id="5">
    <w:p w14:paraId="0D18F3E7" w14:textId="650F30D2" w:rsidR="00580188" w:rsidRPr="005564BD" w:rsidRDefault="00580188">
      <w:pPr>
        <w:pStyle w:val="FootnoteText"/>
        <w:rPr>
          <w:sz w:val="18"/>
          <w:szCs w:val="18"/>
        </w:rPr>
      </w:pPr>
      <w:r>
        <w:rPr>
          <w:rStyle w:val="FootnoteReference"/>
        </w:rPr>
        <w:footnoteRef/>
      </w:r>
      <w:r>
        <w:t xml:space="preserve"> </w:t>
      </w:r>
      <w:r w:rsidRPr="005564BD">
        <w:rPr>
          <w:sz w:val="18"/>
          <w:szCs w:val="18"/>
        </w:rPr>
        <w:t xml:space="preserve">As our analysis is based on the </w:t>
      </w:r>
      <w:r w:rsidR="009A4926" w:rsidRPr="005564BD">
        <w:rPr>
          <w:sz w:val="18"/>
          <w:szCs w:val="18"/>
        </w:rPr>
        <w:t>NPD</w:t>
      </w:r>
      <w:r w:rsidRPr="005564BD">
        <w:rPr>
          <w:sz w:val="18"/>
          <w:szCs w:val="18"/>
        </w:rPr>
        <w:t>, which only covers England, it is</w:t>
      </w:r>
      <w:r w:rsidR="00CB6AEB" w:rsidRPr="005564BD">
        <w:rPr>
          <w:sz w:val="18"/>
          <w:szCs w:val="18"/>
        </w:rPr>
        <w:t xml:space="preserve"> likely</w:t>
      </w:r>
      <w:r w:rsidRPr="005564BD">
        <w:rPr>
          <w:sz w:val="18"/>
          <w:szCs w:val="18"/>
        </w:rPr>
        <w:t xml:space="preserve"> that some additional students completed A-Levels </w:t>
      </w:r>
      <w:proofErr w:type="gramStart"/>
      <w:r w:rsidRPr="005564BD">
        <w:rPr>
          <w:sz w:val="18"/>
          <w:szCs w:val="18"/>
        </w:rPr>
        <w:t>elsewhere;</w:t>
      </w:r>
      <w:proofErr w:type="gramEnd"/>
      <w:r w:rsidRPr="005564BD">
        <w:rPr>
          <w:sz w:val="18"/>
          <w:szCs w:val="18"/>
        </w:rPr>
        <w:t xml:space="preserve"> in Wales, for example. </w:t>
      </w:r>
      <w:r w:rsidR="00CB6AEB" w:rsidRPr="005564BD">
        <w:rPr>
          <w:sz w:val="18"/>
          <w:szCs w:val="18"/>
        </w:rPr>
        <w:t xml:space="preserve">See the </w:t>
      </w:r>
      <w:r w:rsidR="009A4926" w:rsidRPr="005564BD">
        <w:rPr>
          <w:sz w:val="18"/>
          <w:szCs w:val="18"/>
        </w:rPr>
        <w:t>methodology</w:t>
      </w:r>
      <w:r w:rsidR="00CB6AEB" w:rsidRPr="005564BD">
        <w:rPr>
          <w:sz w:val="18"/>
          <w:szCs w:val="18"/>
        </w:rPr>
        <w:t xml:space="preserve"> document for </w:t>
      </w:r>
      <w:r w:rsidR="009A4926" w:rsidRPr="005564BD">
        <w:rPr>
          <w:sz w:val="18"/>
          <w:szCs w:val="18"/>
        </w:rPr>
        <w:t>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5A3"/>
    <w:multiLevelType w:val="hybridMultilevel"/>
    <w:tmpl w:val="6AF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21337"/>
    <w:multiLevelType w:val="multilevel"/>
    <w:tmpl w:val="A56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0CFD"/>
    <w:multiLevelType w:val="hybridMultilevel"/>
    <w:tmpl w:val="D02A9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D3775"/>
    <w:multiLevelType w:val="hybridMultilevel"/>
    <w:tmpl w:val="637C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B7D45"/>
    <w:multiLevelType w:val="hybridMultilevel"/>
    <w:tmpl w:val="48C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86491"/>
    <w:multiLevelType w:val="hybridMultilevel"/>
    <w:tmpl w:val="BDDC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F412B"/>
    <w:multiLevelType w:val="hybridMultilevel"/>
    <w:tmpl w:val="C05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E1326"/>
    <w:multiLevelType w:val="hybridMultilevel"/>
    <w:tmpl w:val="7398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D0E36"/>
    <w:multiLevelType w:val="hybridMultilevel"/>
    <w:tmpl w:val="78F02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47741"/>
    <w:multiLevelType w:val="hybridMultilevel"/>
    <w:tmpl w:val="9B34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55D9"/>
    <w:multiLevelType w:val="hybridMultilevel"/>
    <w:tmpl w:val="78E20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642BD"/>
    <w:multiLevelType w:val="hybridMultilevel"/>
    <w:tmpl w:val="18B6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22692"/>
    <w:multiLevelType w:val="hybridMultilevel"/>
    <w:tmpl w:val="E8A0C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23FA6"/>
    <w:multiLevelType w:val="hybridMultilevel"/>
    <w:tmpl w:val="2D1E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842D1"/>
    <w:multiLevelType w:val="hybridMultilevel"/>
    <w:tmpl w:val="0E62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E12E4"/>
    <w:multiLevelType w:val="hybridMultilevel"/>
    <w:tmpl w:val="EB14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87DF3"/>
    <w:multiLevelType w:val="hybridMultilevel"/>
    <w:tmpl w:val="6D7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C2981"/>
    <w:multiLevelType w:val="hybridMultilevel"/>
    <w:tmpl w:val="EB4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6074B"/>
    <w:multiLevelType w:val="hybridMultilevel"/>
    <w:tmpl w:val="32A40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E0B70"/>
    <w:multiLevelType w:val="hybridMultilevel"/>
    <w:tmpl w:val="174A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A2F6C"/>
    <w:multiLevelType w:val="multilevel"/>
    <w:tmpl w:val="239EDCC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C2E2CA6"/>
    <w:multiLevelType w:val="hybridMultilevel"/>
    <w:tmpl w:val="2B98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D72F4B"/>
    <w:multiLevelType w:val="hybridMultilevel"/>
    <w:tmpl w:val="168A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
  </w:num>
  <w:num w:numId="4">
    <w:abstractNumId w:val="10"/>
  </w:num>
  <w:num w:numId="5">
    <w:abstractNumId w:val="21"/>
  </w:num>
  <w:num w:numId="6">
    <w:abstractNumId w:val="19"/>
  </w:num>
  <w:num w:numId="7">
    <w:abstractNumId w:val="7"/>
  </w:num>
  <w:num w:numId="8">
    <w:abstractNumId w:val="18"/>
  </w:num>
  <w:num w:numId="9">
    <w:abstractNumId w:val="17"/>
  </w:num>
  <w:num w:numId="10">
    <w:abstractNumId w:val="9"/>
  </w:num>
  <w:num w:numId="11">
    <w:abstractNumId w:val="8"/>
  </w:num>
  <w:num w:numId="12">
    <w:abstractNumId w:val="14"/>
  </w:num>
  <w:num w:numId="13">
    <w:abstractNumId w:val="0"/>
  </w:num>
  <w:num w:numId="14">
    <w:abstractNumId w:val="6"/>
  </w:num>
  <w:num w:numId="15">
    <w:abstractNumId w:val="22"/>
  </w:num>
  <w:num w:numId="16">
    <w:abstractNumId w:val="12"/>
  </w:num>
  <w:num w:numId="17">
    <w:abstractNumId w:val="2"/>
  </w:num>
  <w:num w:numId="18">
    <w:abstractNumId w:val="5"/>
  </w:num>
  <w:num w:numId="19">
    <w:abstractNumId w:val="4"/>
  </w:num>
  <w:num w:numId="20">
    <w:abstractNumId w:val="11"/>
  </w:num>
  <w:num w:numId="21">
    <w:abstractNumId w:val="16"/>
  </w:num>
  <w:num w:numId="22">
    <w:abstractNumId w:val="1"/>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13"/>
    <w:rsid w:val="00000C5E"/>
    <w:rsid w:val="00012858"/>
    <w:rsid w:val="00013D8B"/>
    <w:rsid w:val="000148F3"/>
    <w:rsid w:val="0001569D"/>
    <w:rsid w:val="000418B2"/>
    <w:rsid w:val="00072460"/>
    <w:rsid w:val="00075BFB"/>
    <w:rsid w:val="00083A3B"/>
    <w:rsid w:val="0009234F"/>
    <w:rsid w:val="000A13D9"/>
    <w:rsid w:val="000A1712"/>
    <w:rsid w:val="000A4D2D"/>
    <w:rsid w:val="000B14CB"/>
    <w:rsid w:val="000B4279"/>
    <w:rsid w:val="000B69BD"/>
    <w:rsid w:val="000B6E49"/>
    <w:rsid w:val="000D2107"/>
    <w:rsid w:val="000F4E7E"/>
    <w:rsid w:val="0012135E"/>
    <w:rsid w:val="00151F07"/>
    <w:rsid w:val="00167ADC"/>
    <w:rsid w:val="00170639"/>
    <w:rsid w:val="00187127"/>
    <w:rsid w:val="00196602"/>
    <w:rsid w:val="001A160D"/>
    <w:rsid w:val="001A569D"/>
    <w:rsid w:val="001A6913"/>
    <w:rsid w:val="001B5FF3"/>
    <w:rsid w:val="001C657D"/>
    <w:rsid w:val="001D61D8"/>
    <w:rsid w:val="001E36C3"/>
    <w:rsid w:val="001F03AF"/>
    <w:rsid w:val="001F6950"/>
    <w:rsid w:val="00201A9C"/>
    <w:rsid w:val="0020389E"/>
    <w:rsid w:val="00214723"/>
    <w:rsid w:val="00215B77"/>
    <w:rsid w:val="00216499"/>
    <w:rsid w:val="002236E5"/>
    <w:rsid w:val="002238D8"/>
    <w:rsid w:val="00225A57"/>
    <w:rsid w:val="002319B3"/>
    <w:rsid w:val="00233AE8"/>
    <w:rsid w:val="00265F50"/>
    <w:rsid w:val="002A5FCC"/>
    <w:rsid w:val="002A7375"/>
    <w:rsid w:val="002C0BA3"/>
    <w:rsid w:val="002C0FA4"/>
    <w:rsid w:val="002C182B"/>
    <w:rsid w:val="002C4366"/>
    <w:rsid w:val="002C77B0"/>
    <w:rsid w:val="002E063A"/>
    <w:rsid w:val="002E60FC"/>
    <w:rsid w:val="002F04E4"/>
    <w:rsid w:val="002F7867"/>
    <w:rsid w:val="00306D0A"/>
    <w:rsid w:val="0032419B"/>
    <w:rsid w:val="003323B1"/>
    <w:rsid w:val="00344980"/>
    <w:rsid w:val="00350AF9"/>
    <w:rsid w:val="00360E04"/>
    <w:rsid w:val="00362625"/>
    <w:rsid w:val="0037044D"/>
    <w:rsid w:val="00375694"/>
    <w:rsid w:val="003812A1"/>
    <w:rsid w:val="0038626D"/>
    <w:rsid w:val="00391AFE"/>
    <w:rsid w:val="00393FE8"/>
    <w:rsid w:val="00396D06"/>
    <w:rsid w:val="003A144A"/>
    <w:rsid w:val="003A3F37"/>
    <w:rsid w:val="003A441D"/>
    <w:rsid w:val="003B6B7F"/>
    <w:rsid w:val="003B78CE"/>
    <w:rsid w:val="003C0295"/>
    <w:rsid w:val="003D3477"/>
    <w:rsid w:val="003D7154"/>
    <w:rsid w:val="003D7976"/>
    <w:rsid w:val="003F0436"/>
    <w:rsid w:val="003F5BBB"/>
    <w:rsid w:val="003F7A98"/>
    <w:rsid w:val="00402F4C"/>
    <w:rsid w:val="00413DC9"/>
    <w:rsid w:val="00426AA4"/>
    <w:rsid w:val="004331C8"/>
    <w:rsid w:val="00441094"/>
    <w:rsid w:val="00480DEB"/>
    <w:rsid w:val="00481529"/>
    <w:rsid w:val="004857ED"/>
    <w:rsid w:val="004B3C62"/>
    <w:rsid w:val="004D7DBC"/>
    <w:rsid w:val="00501FCC"/>
    <w:rsid w:val="00525CA5"/>
    <w:rsid w:val="005261CC"/>
    <w:rsid w:val="00531955"/>
    <w:rsid w:val="00535952"/>
    <w:rsid w:val="00546AAA"/>
    <w:rsid w:val="005529CC"/>
    <w:rsid w:val="005564BD"/>
    <w:rsid w:val="0056173B"/>
    <w:rsid w:val="00580188"/>
    <w:rsid w:val="005809E0"/>
    <w:rsid w:val="005A4EE8"/>
    <w:rsid w:val="005A6FB3"/>
    <w:rsid w:val="005C118C"/>
    <w:rsid w:val="005C3022"/>
    <w:rsid w:val="005E3034"/>
    <w:rsid w:val="005E6575"/>
    <w:rsid w:val="00600741"/>
    <w:rsid w:val="0062037C"/>
    <w:rsid w:val="006224FD"/>
    <w:rsid w:val="00624088"/>
    <w:rsid w:val="006270BA"/>
    <w:rsid w:val="0063072D"/>
    <w:rsid w:val="00630CC1"/>
    <w:rsid w:val="006375A5"/>
    <w:rsid w:val="00660875"/>
    <w:rsid w:val="00673C65"/>
    <w:rsid w:val="00682032"/>
    <w:rsid w:val="006903D9"/>
    <w:rsid w:val="00693F8C"/>
    <w:rsid w:val="006C57C2"/>
    <w:rsid w:val="006D15DA"/>
    <w:rsid w:val="006E461B"/>
    <w:rsid w:val="006F7176"/>
    <w:rsid w:val="007150BE"/>
    <w:rsid w:val="0072795E"/>
    <w:rsid w:val="00735D8C"/>
    <w:rsid w:val="00736465"/>
    <w:rsid w:val="00736FB8"/>
    <w:rsid w:val="0073742B"/>
    <w:rsid w:val="00774ED7"/>
    <w:rsid w:val="00780296"/>
    <w:rsid w:val="007A6A2A"/>
    <w:rsid w:val="007B40CD"/>
    <w:rsid w:val="007D378A"/>
    <w:rsid w:val="007E357A"/>
    <w:rsid w:val="007F7261"/>
    <w:rsid w:val="00803A18"/>
    <w:rsid w:val="00823D31"/>
    <w:rsid w:val="008446E5"/>
    <w:rsid w:val="0085774E"/>
    <w:rsid w:val="00870D79"/>
    <w:rsid w:val="008725E3"/>
    <w:rsid w:val="00892E6F"/>
    <w:rsid w:val="008A1B00"/>
    <w:rsid w:val="008B0C8D"/>
    <w:rsid w:val="008B2A19"/>
    <w:rsid w:val="008C6F41"/>
    <w:rsid w:val="008D066F"/>
    <w:rsid w:val="008D2BB4"/>
    <w:rsid w:val="008E7650"/>
    <w:rsid w:val="008F4199"/>
    <w:rsid w:val="009135D2"/>
    <w:rsid w:val="00924CA1"/>
    <w:rsid w:val="00937BEC"/>
    <w:rsid w:val="00974E1A"/>
    <w:rsid w:val="009833BE"/>
    <w:rsid w:val="00996560"/>
    <w:rsid w:val="009A4926"/>
    <w:rsid w:val="009B2399"/>
    <w:rsid w:val="009B6F06"/>
    <w:rsid w:val="009C289F"/>
    <w:rsid w:val="009D443A"/>
    <w:rsid w:val="009F6389"/>
    <w:rsid w:val="009F6E00"/>
    <w:rsid w:val="00A04D9B"/>
    <w:rsid w:val="00A1207D"/>
    <w:rsid w:val="00A20DEF"/>
    <w:rsid w:val="00A2238F"/>
    <w:rsid w:val="00A35D04"/>
    <w:rsid w:val="00A4160C"/>
    <w:rsid w:val="00A67110"/>
    <w:rsid w:val="00A91EFF"/>
    <w:rsid w:val="00AA037B"/>
    <w:rsid w:val="00AA121B"/>
    <w:rsid w:val="00AA4FDA"/>
    <w:rsid w:val="00AB0BE3"/>
    <w:rsid w:val="00AB40F4"/>
    <w:rsid w:val="00AD060E"/>
    <w:rsid w:val="00AF161A"/>
    <w:rsid w:val="00AF44DB"/>
    <w:rsid w:val="00AF5EAA"/>
    <w:rsid w:val="00B0193E"/>
    <w:rsid w:val="00B01A55"/>
    <w:rsid w:val="00B02933"/>
    <w:rsid w:val="00B04BB5"/>
    <w:rsid w:val="00B1374D"/>
    <w:rsid w:val="00B140A7"/>
    <w:rsid w:val="00B16CAE"/>
    <w:rsid w:val="00B24A13"/>
    <w:rsid w:val="00B35BFA"/>
    <w:rsid w:val="00B465DF"/>
    <w:rsid w:val="00B4688C"/>
    <w:rsid w:val="00B52747"/>
    <w:rsid w:val="00B52C22"/>
    <w:rsid w:val="00B60343"/>
    <w:rsid w:val="00B62C77"/>
    <w:rsid w:val="00B707EB"/>
    <w:rsid w:val="00B76BE4"/>
    <w:rsid w:val="00B818DE"/>
    <w:rsid w:val="00B86037"/>
    <w:rsid w:val="00B8758E"/>
    <w:rsid w:val="00B87CBF"/>
    <w:rsid w:val="00BA3FB7"/>
    <w:rsid w:val="00BC2A94"/>
    <w:rsid w:val="00BD5951"/>
    <w:rsid w:val="00BE646E"/>
    <w:rsid w:val="00BF469D"/>
    <w:rsid w:val="00C02DA7"/>
    <w:rsid w:val="00C15089"/>
    <w:rsid w:val="00C31937"/>
    <w:rsid w:val="00C338B5"/>
    <w:rsid w:val="00C47C0D"/>
    <w:rsid w:val="00C53F9F"/>
    <w:rsid w:val="00C85D4B"/>
    <w:rsid w:val="00C87E44"/>
    <w:rsid w:val="00C93B45"/>
    <w:rsid w:val="00CB6AEB"/>
    <w:rsid w:val="00CC2619"/>
    <w:rsid w:val="00CF10E1"/>
    <w:rsid w:val="00CF131E"/>
    <w:rsid w:val="00D17BB9"/>
    <w:rsid w:val="00D40B35"/>
    <w:rsid w:val="00D40DEF"/>
    <w:rsid w:val="00D41D06"/>
    <w:rsid w:val="00D660A0"/>
    <w:rsid w:val="00D71963"/>
    <w:rsid w:val="00D86A5E"/>
    <w:rsid w:val="00D9701F"/>
    <w:rsid w:val="00DB7F74"/>
    <w:rsid w:val="00DC3DA9"/>
    <w:rsid w:val="00DF5D0D"/>
    <w:rsid w:val="00E109F7"/>
    <w:rsid w:val="00E10E41"/>
    <w:rsid w:val="00E3258C"/>
    <w:rsid w:val="00E474C4"/>
    <w:rsid w:val="00E66653"/>
    <w:rsid w:val="00E7244D"/>
    <w:rsid w:val="00E74C09"/>
    <w:rsid w:val="00E819B4"/>
    <w:rsid w:val="00E979CC"/>
    <w:rsid w:val="00EB0F25"/>
    <w:rsid w:val="00EB40BC"/>
    <w:rsid w:val="00EB567C"/>
    <w:rsid w:val="00EC50B1"/>
    <w:rsid w:val="00EC59B6"/>
    <w:rsid w:val="00ED26BF"/>
    <w:rsid w:val="00F041F1"/>
    <w:rsid w:val="00F041FC"/>
    <w:rsid w:val="00F05915"/>
    <w:rsid w:val="00F06FE1"/>
    <w:rsid w:val="00F13190"/>
    <w:rsid w:val="00F43A89"/>
    <w:rsid w:val="00F45FBA"/>
    <w:rsid w:val="00F650F7"/>
    <w:rsid w:val="00F85760"/>
    <w:rsid w:val="00F947C7"/>
    <w:rsid w:val="00F97B7C"/>
    <w:rsid w:val="00FB6B5C"/>
    <w:rsid w:val="00FC22B1"/>
    <w:rsid w:val="00FC6AE4"/>
    <w:rsid w:val="00FC6E7B"/>
    <w:rsid w:val="00FE118E"/>
    <w:rsid w:val="00FE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62141"/>
  <w15:chartTrackingRefBased/>
  <w15:docId w15:val="{70E9D21D-600F-45D2-A065-D26CD47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913"/>
    <w:pPr>
      <w:spacing w:after="0" w:line="240" w:lineRule="auto"/>
    </w:pPr>
    <w:rPr>
      <w:rFonts w:ascii="Calibri" w:hAnsi="Calibri" w:cs="Calibri"/>
    </w:rPr>
  </w:style>
  <w:style w:type="paragraph" w:styleId="Heading1">
    <w:name w:val="heading 1"/>
    <w:basedOn w:val="Normal"/>
    <w:next w:val="Normal"/>
    <w:link w:val="Heading1Char"/>
    <w:uiPriority w:val="9"/>
    <w:qFormat/>
    <w:rsid w:val="00000C5E"/>
    <w:pPr>
      <w:keepNext/>
      <w:keepLines/>
      <w:spacing w:before="240"/>
      <w:outlineLvl w:val="0"/>
    </w:pPr>
    <w:rPr>
      <w:rFonts w:asciiTheme="majorHAnsi" w:eastAsiaTheme="majorEastAsia" w:hAnsiTheme="majorHAnsi" w:cstheme="majorBidi"/>
      <w:color w:val="AC005D" w:themeColor="accent1" w:themeShade="BF"/>
      <w:sz w:val="32"/>
      <w:szCs w:val="32"/>
    </w:rPr>
  </w:style>
  <w:style w:type="paragraph" w:styleId="Heading2">
    <w:name w:val="heading 2"/>
    <w:basedOn w:val="Normal"/>
    <w:next w:val="Normal"/>
    <w:link w:val="Heading2Char"/>
    <w:uiPriority w:val="9"/>
    <w:unhideWhenUsed/>
    <w:qFormat/>
    <w:rsid w:val="00000C5E"/>
    <w:pPr>
      <w:keepNext/>
      <w:keepLines/>
      <w:spacing w:before="40"/>
      <w:outlineLvl w:val="1"/>
    </w:pPr>
    <w:rPr>
      <w:rFonts w:asciiTheme="majorHAnsi" w:eastAsiaTheme="majorEastAsia" w:hAnsiTheme="majorHAnsi" w:cstheme="majorBidi"/>
      <w:color w:val="AC005D" w:themeColor="accent1" w:themeShade="BF"/>
      <w:sz w:val="26"/>
      <w:szCs w:val="26"/>
    </w:rPr>
  </w:style>
  <w:style w:type="paragraph" w:styleId="Heading3">
    <w:name w:val="heading 3"/>
    <w:basedOn w:val="Normal"/>
    <w:next w:val="Normal"/>
    <w:link w:val="Heading3Char"/>
    <w:uiPriority w:val="9"/>
    <w:unhideWhenUsed/>
    <w:qFormat/>
    <w:rsid w:val="00000C5E"/>
    <w:pPr>
      <w:keepNext/>
      <w:keepLines/>
      <w:spacing w:before="40"/>
      <w:outlineLvl w:val="2"/>
    </w:pPr>
    <w:rPr>
      <w:rFonts w:asciiTheme="majorHAnsi" w:eastAsiaTheme="majorEastAsia" w:hAnsiTheme="majorHAnsi" w:cstheme="majorBidi"/>
      <w:color w:val="72003E" w:themeColor="accent1" w:themeShade="7F"/>
      <w:sz w:val="24"/>
      <w:szCs w:val="24"/>
    </w:rPr>
  </w:style>
  <w:style w:type="paragraph" w:styleId="Heading4">
    <w:name w:val="heading 4"/>
    <w:basedOn w:val="Normal"/>
    <w:next w:val="Normal"/>
    <w:link w:val="Heading4Char"/>
    <w:uiPriority w:val="9"/>
    <w:unhideWhenUsed/>
    <w:qFormat/>
    <w:rsid w:val="00000C5E"/>
    <w:pPr>
      <w:keepNext/>
      <w:keepLines/>
      <w:spacing w:before="40"/>
      <w:outlineLvl w:val="3"/>
    </w:pPr>
    <w:rPr>
      <w:rFonts w:asciiTheme="majorHAnsi" w:eastAsiaTheme="majorEastAsia" w:hAnsiTheme="majorHAnsi" w:cstheme="majorBidi"/>
      <w:i/>
      <w:iCs/>
      <w:color w:val="AC005D" w:themeColor="accent1" w:themeShade="BF"/>
    </w:rPr>
  </w:style>
  <w:style w:type="paragraph" w:styleId="Heading5">
    <w:name w:val="heading 5"/>
    <w:basedOn w:val="Normal"/>
    <w:next w:val="Normal"/>
    <w:link w:val="Heading5Char"/>
    <w:uiPriority w:val="9"/>
    <w:unhideWhenUsed/>
    <w:qFormat/>
    <w:rsid w:val="00000C5E"/>
    <w:pPr>
      <w:keepNext/>
      <w:keepLines/>
      <w:spacing w:before="40"/>
      <w:outlineLvl w:val="4"/>
    </w:pPr>
    <w:rPr>
      <w:rFonts w:asciiTheme="majorHAnsi" w:eastAsiaTheme="majorEastAsia" w:hAnsiTheme="majorHAnsi" w:cstheme="majorBidi"/>
      <w:color w:val="AC005D" w:themeColor="accent1" w:themeShade="BF"/>
    </w:rPr>
  </w:style>
  <w:style w:type="paragraph" w:styleId="Heading6">
    <w:name w:val="heading 6"/>
    <w:basedOn w:val="Normal"/>
    <w:next w:val="Normal"/>
    <w:link w:val="Heading6Char"/>
    <w:uiPriority w:val="9"/>
    <w:unhideWhenUsed/>
    <w:qFormat/>
    <w:rsid w:val="00000C5E"/>
    <w:pPr>
      <w:keepNext/>
      <w:keepLines/>
      <w:spacing w:before="40"/>
      <w:outlineLvl w:val="5"/>
    </w:pPr>
    <w:rPr>
      <w:rFonts w:asciiTheme="majorHAnsi" w:eastAsiaTheme="majorEastAsia" w:hAnsiTheme="majorHAnsi" w:cstheme="majorBidi"/>
      <w:color w:val="7200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BD"/>
    <w:pPr>
      <w:ind w:left="720"/>
      <w:contextualSpacing/>
    </w:pPr>
    <w:rPr>
      <w:rFonts w:cs="Times New Roman"/>
    </w:rPr>
  </w:style>
  <w:style w:type="character" w:customStyle="1" w:styleId="Heading1Char">
    <w:name w:val="Heading 1 Char"/>
    <w:basedOn w:val="DefaultParagraphFont"/>
    <w:link w:val="Heading1"/>
    <w:uiPriority w:val="9"/>
    <w:rsid w:val="00000C5E"/>
    <w:rPr>
      <w:rFonts w:asciiTheme="majorHAnsi" w:eastAsiaTheme="majorEastAsia" w:hAnsiTheme="majorHAnsi" w:cstheme="majorBidi"/>
      <w:color w:val="AC005D" w:themeColor="accent1" w:themeShade="BF"/>
      <w:sz w:val="32"/>
      <w:szCs w:val="32"/>
    </w:rPr>
  </w:style>
  <w:style w:type="character" w:customStyle="1" w:styleId="Heading2Char">
    <w:name w:val="Heading 2 Char"/>
    <w:basedOn w:val="DefaultParagraphFont"/>
    <w:link w:val="Heading2"/>
    <w:uiPriority w:val="9"/>
    <w:rsid w:val="00000C5E"/>
    <w:rPr>
      <w:rFonts w:asciiTheme="majorHAnsi" w:eastAsiaTheme="majorEastAsia" w:hAnsiTheme="majorHAnsi" w:cstheme="majorBidi"/>
      <w:color w:val="AC005D" w:themeColor="accent1" w:themeShade="BF"/>
      <w:sz w:val="26"/>
      <w:szCs w:val="26"/>
    </w:rPr>
  </w:style>
  <w:style w:type="character" w:customStyle="1" w:styleId="Heading3Char">
    <w:name w:val="Heading 3 Char"/>
    <w:basedOn w:val="DefaultParagraphFont"/>
    <w:link w:val="Heading3"/>
    <w:uiPriority w:val="9"/>
    <w:rsid w:val="00000C5E"/>
    <w:rPr>
      <w:rFonts w:asciiTheme="majorHAnsi" w:eastAsiaTheme="majorEastAsia" w:hAnsiTheme="majorHAnsi" w:cstheme="majorBidi"/>
      <w:color w:val="72003E" w:themeColor="accent1" w:themeShade="7F"/>
      <w:sz w:val="24"/>
      <w:szCs w:val="24"/>
    </w:rPr>
  </w:style>
  <w:style w:type="character" w:customStyle="1" w:styleId="Heading4Char">
    <w:name w:val="Heading 4 Char"/>
    <w:basedOn w:val="DefaultParagraphFont"/>
    <w:link w:val="Heading4"/>
    <w:uiPriority w:val="9"/>
    <w:rsid w:val="00000C5E"/>
    <w:rPr>
      <w:rFonts w:asciiTheme="majorHAnsi" w:eastAsiaTheme="majorEastAsia" w:hAnsiTheme="majorHAnsi" w:cstheme="majorBidi"/>
      <w:i/>
      <w:iCs/>
      <w:color w:val="AC005D" w:themeColor="accent1" w:themeShade="BF"/>
    </w:rPr>
  </w:style>
  <w:style w:type="character" w:customStyle="1" w:styleId="Heading5Char">
    <w:name w:val="Heading 5 Char"/>
    <w:basedOn w:val="DefaultParagraphFont"/>
    <w:link w:val="Heading5"/>
    <w:uiPriority w:val="9"/>
    <w:rsid w:val="00000C5E"/>
    <w:rPr>
      <w:rFonts w:asciiTheme="majorHAnsi" w:eastAsiaTheme="majorEastAsia" w:hAnsiTheme="majorHAnsi" w:cstheme="majorBidi"/>
      <w:color w:val="AC005D" w:themeColor="accent1" w:themeShade="BF"/>
    </w:rPr>
  </w:style>
  <w:style w:type="character" w:customStyle="1" w:styleId="Heading6Char">
    <w:name w:val="Heading 6 Char"/>
    <w:basedOn w:val="DefaultParagraphFont"/>
    <w:link w:val="Heading6"/>
    <w:uiPriority w:val="9"/>
    <w:rsid w:val="00000C5E"/>
    <w:rPr>
      <w:rFonts w:asciiTheme="majorHAnsi" w:eastAsiaTheme="majorEastAsia" w:hAnsiTheme="majorHAnsi" w:cstheme="majorBidi"/>
      <w:color w:val="72003E" w:themeColor="accent1" w:themeShade="7F"/>
    </w:rPr>
  </w:style>
  <w:style w:type="character" w:styleId="Hyperlink">
    <w:name w:val="Hyperlink"/>
    <w:basedOn w:val="DefaultParagraphFont"/>
    <w:uiPriority w:val="99"/>
    <w:unhideWhenUsed/>
    <w:rsid w:val="008725E3"/>
    <w:rPr>
      <w:color w:val="E6007E" w:themeColor="hyperlink"/>
      <w:u w:val="single"/>
    </w:rPr>
  </w:style>
  <w:style w:type="character" w:styleId="CommentReference">
    <w:name w:val="annotation reference"/>
    <w:basedOn w:val="DefaultParagraphFont"/>
    <w:uiPriority w:val="99"/>
    <w:semiHidden/>
    <w:unhideWhenUsed/>
    <w:rsid w:val="00201A9C"/>
    <w:rPr>
      <w:sz w:val="16"/>
      <w:szCs w:val="16"/>
    </w:rPr>
  </w:style>
  <w:style w:type="paragraph" w:styleId="CommentText">
    <w:name w:val="annotation text"/>
    <w:basedOn w:val="Normal"/>
    <w:link w:val="CommentTextChar"/>
    <w:uiPriority w:val="99"/>
    <w:semiHidden/>
    <w:unhideWhenUsed/>
    <w:rsid w:val="00201A9C"/>
    <w:rPr>
      <w:sz w:val="20"/>
      <w:szCs w:val="20"/>
    </w:rPr>
  </w:style>
  <w:style w:type="character" w:customStyle="1" w:styleId="CommentTextChar">
    <w:name w:val="Comment Text Char"/>
    <w:basedOn w:val="DefaultParagraphFont"/>
    <w:link w:val="CommentText"/>
    <w:uiPriority w:val="99"/>
    <w:semiHidden/>
    <w:rsid w:val="00201A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A9C"/>
    <w:rPr>
      <w:b/>
      <w:bCs/>
    </w:rPr>
  </w:style>
  <w:style w:type="character" w:customStyle="1" w:styleId="CommentSubjectChar">
    <w:name w:val="Comment Subject Char"/>
    <w:basedOn w:val="CommentTextChar"/>
    <w:link w:val="CommentSubject"/>
    <w:uiPriority w:val="99"/>
    <w:semiHidden/>
    <w:rsid w:val="00201A9C"/>
    <w:rPr>
      <w:rFonts w:ascii="Calibri" w:hAnsi="Calibri" w:cs="Calibri"/>
      <w:b/>
      <w:bCs/>
      <w:sz w:val="20"/>
      <w:szCs w:val="20"/>
    </w:rPr>
  </w:style>
  <w:style w:type="paragraph" w:styleId="BalloonText">
    <w:name w:val="Balloon Text"/>
    <w:basedOn w:val="Normal"/>
    <w:link w:val="BalloonTextChar"/>
    <w:uiPriority w:val="99"/>
    <w:semiHidden/>
    <w:unhideWhenUsed/>
    <w:rsid w:val="00201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A9C"/>
    <w:rPr>
      <w:rFonts w:ascii="Segoe UI" w:hAnsi="Segoe UI" w:cs="Segoe UI"/>
      <w:sz w:val="18"/>
      <w:szCs w:val="18"/>
    </w:rPr>
  </w:style>
  <w:style w:type="character" w:styleId="FollowedHyperlink">
    <w:name w:val="FollowedHyperlink"/>
    <w:basedOn w:val="DefaultParagraphFont"/>
    <w:uiPriority w:val="99"/>
    <w:semiHidden/>
    <w:unhideWhenUsed/>
    <w:rsid w:val="009833BE"/>
    <w:rPr>
      <w:color w:val="AC005E" w:themeColor="followedHyperlink"/>
      <w:u w:val="single"/>
    </w:rPr>
  </w:style>
  <w:style w:type="table" w:styleId="TableGrid">
    <w:name w:val="Table Grid"/>
    <w:basedOn w:val="TableNormal"/>
    <w:uiPriority w:val="39"/>
    <w:rsid w:val="000F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4E7E"/>
    <w:rPr>
      <w:sz w:val="20"/>
      <w:szCs w:val="20"/>
    </w:rPr>
  </w:style>
  <w:style w:type="character" w:customStyle="1" w:styleId="FootnoteTextChar">
    <w:name w:val="Footnote Text Char"/>
    <w:basedOn w:val="DefaultParagraphFont"/>
    <w:link w:val="FootnoteText"/>
    <w:uiPriority w:val="99"/>
    <w:rsid w:val="000F4E7E"/>
    <w:rPr>
      <w:rFonts w:ascii="Calibri" w:hAnsi="Calibri" w:cs="Calibri"/>
      <w:sz w:val="20"/>
      <w:szCs w:val="20"/>
    </w:rPr>
  </w:style>
  <w:style w:type="character" w:styleId="FootnoteReference">
    <w:name w:val="footnote reference"/>
    <w:basedOn w:val="DefaultParagraphFont"/>
    <w:uiPriority w:val="99"/>
    <w:semiHidden/>
    <w:unhideWhenUsed/>
    <w:rsid w:val="000F4E7E"/>
    <w:rPr>
      <w:vertAlign w:val="superscript"/>
    </w:rPr>
  </w:style>
  <w:style w:type="paragraph" w:styleId="Header">
    <w:name w:val="header"/>
    <w:basedOn w:val="Normal"/>
    <w:link w:val="HeaderChar"/>
    <w:uiPriority w:val="99"/>
    <w:unhideWhenUsed/>
    <w:rsid w:val="00F85760"/>
    <w:pPr>
      <w:tabs>
        <w:tab w:val="center" w:pos="4513"/>
        <w:tab w:val="right" w:pos="9026"/>
      </w:tabs>
    </w:pPr>
  </w:style>
  <w:style w:type="character" w:customStyle="1" w:styleId="HeaderChar">
    <w:name w:val="Header Char"/>
    <w:basedOn w:val="DefaultParagraphFont"/>
    <w:link w:val="Header"/>
    <w:uiPriority w:val="99"/>
    <w:rsid w:val="00F85760"/>
    <w:rPr>
      <w:rFonts w:ascii="Calibri" w:hAnsi="Calibri" w:cs="Calibri"/>
    </w:rPr>
  </w:style>
  <w:style w:type="paragraph" w:styleId="Footer">
    <w:name w:val="footer"/>
    <w:basedOn w:val="Normal"/>
    <w:link w:val="FooterChar"/>
    <w:uiPriority w:val="99"/>
    <w:unhideWhenUsed/>
    <w:rsid w:val="00F85760"/>
    <w:pPr>
      <w:tabs>
        <w:tab w:val="center" w:pos="4513"/>
        <w:tab w:val="right" w:pos="9026"/>
      </w:tabs>
    </w:pPr>
  </w:style>
  <w:style w:type="character" w:customStyle="1" w:styleId="FooterChar">
    <w:name w:val="Footer Char"/>
    <w:basedOn w:val="DefaultParagraphFont"/>
    <w:link w:val="Footer"/>
    <w:uiPriority w:val="99"/>
    <w:rsid w:val="00F85760"/>
    <w:rPr>
      <w:rFonts w:ascii="Calibri" w:hAnsi="Calibri" w:cs="Calibri"/>
    </w:rPr>
  </w:style>
  <w:style w:type="paragraph" w:styleId="Revision">
    <w:name w:val="Revision"/>
    <w:hidden/>
    <w:uiPriority w:val="99"/>
    <w:semiHidden/>
    <w:rsid w:val="00072460"/>
    <w:pPr>
      <w:spacing w:after="0" w:line="240" w:lineRule="auto"/>
    </w:pPr>
    <w:rPr>
      <w:rFonts w:ascii="Calibri" w:hAnsi="Calibri" w:cs="Calibri"/>
    </w:rPr>
  </w:style>
  <w:style w:type="paragraph" w:styleId="TOCHeading">
    <w:name w:val="TOC Heading"/>
    <w:basedOn w:val="Heading1"/>
    <w:next w:val="Normal"/>
    <w:uiPriority w:val="39"/>
    <w:unhideWhenUsed/>
    <w:qFormat/>
    <w:rsid w:val="00774ED7"/>
    <w:pPr>
      <w:spacing w:line="259" w:lineRule="auto"/>
      <w:outlineLvl w:val="9"/>
    </w:pPr>
    <w:rPr>
      <w:lang w:val="en-US"/>
    </w:rPr>
  </w:style>
  <w:style w:type="paragraph" w:styleId="TOC1">
    <w:name w:val="toc 1"/>
    <w:basedOn w:val="Normal"/>
    <w:next w:val="Normal"/>
    <w:autoRedefine/>
    <w:uiPriority w:val="39"/>
    <w:unhideWhenUsed/>
    <w:rsid w:val="00774ED7"/>
    <w:pPr>
      <w:spacing w:after="100"/>
    </w:pPr>
  </w:style>
  <w:style w:type="paragraph" w:styleId="TOC2">
    <w:name w:val="toc 2"/>
    <w:basedOn w:val="Normal"/>
    <w:next w:val="Normal"/>
    <w:autoRedefine/>
    <w:uiPriority w:val="39"/>
    <w:unhideWhenUsed/>
    <w:rsid w:val="00774ED7"/>
    <w:pPr>
      <w:spacing w:after="100"/>
      <w:ind w:left="220"/>
    </w:pPr>
  </w:style>
  <w:style w:type="paragraph" w:styleId="TOC3">
    <w:name w:val="toc 3"/>
    <w:basedOn w:val="Normal"/>
    <w:next w:val="Normal"/>
    <w:autoRedefine/>
    <w:uiPriority w:val="39"/>
    <w:unhideWhenUsed/>
    <w:rsid w:val="00774ED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822">
      <w:bodyDiv w:val="1"/>
      <w:marLeft w:val="0"/>
      <w:marRight w:val="0"/>
      <w:marTop w:val="0"/>
      <w:marBottom w:val="0"/>
      <w:divBdr>
        <w:top w:val="none" w:sz="0" w:space="0" w:color="auto"/>
        <w:left w:val="none" w:sz="0" w:space="0" w:color="auto"/>
        <w:bottom w:val="none" w:sz="0" w:space="0" w:color="auto"/>
        <w:right w:val="none" w:sz="0" w:space="0" w:color="auto"/>
      </w:divBdr>
    </w:div>
    <w:div w:id="192887531">
      <w:bodyDiv w:val="1"/>
      <w:marLeft w:val="0"/>
      <w:marRight w:val="0"/>
      <w:marTop w:val="0"/>
      <w:marBottom w:val="0"/>
      <w:divBdr>
        <w:top w:val="none" w:sz="0" w:space="0" w:color="auto"/>
        <w:left w:val="none" w:sz="0" w:space="0" w:color="auto"/>
        <w:bottom w:val="none" w:sz="0" w:space="0" w:color="auto"/>
        <w:right w:val="none" w:sz="0" w:space="0" w:color="auto"/>
      </w:divBdr>
    </w:div>
    <w:div w:id="216280677">
      <w:bodyDiv w:val="1"/>
      <w:marLeft w:val="0"/>
      <w:marRight w:val="0"/>
      <w:marTop w:val="0"/>
      <w:marBottom w:val="0"/>
      <w:divBdr>
        <w:top w:val="none" w:sz="0" w:space="0" w:color="auto"/>
        <w:left w:val="none" w:sz="0" w:space="0" w:color="auto"/>
        <w:bottom w:val="none" w:sz="0" w:space="0" w:color="auto"/>
        <w:right w:val="none" w:sz="0" w:space="0" w:color="auto"/>
      </w:divBdr>
    </w:div>
    <w:div w:id="329329337">
      <w:bodyDiv w:val="1"/>
      <w:marLeft w:val="0"/>
      <w:marRight w:val="0"/>
      <w:marTop w:val="0"/>
      <w:marBottom w:val="0"/>
      <w:divBdr>
        <w:top w:val="none" w:sz="0" w:space="0" w:color="auto"/>
        <w:left w:val="none" w:sz="0" w:space="0" w:color="auto"/>
        <w:bottom w:val="none" w:sz="0" w:space="0" w:color="auto"/>
        <w:right w:val="none" w:sz="0" w:space="0" w:color="auto"/>
      </w:divBdr>
    </w:div>
    <w:div w:id="507789630">
      <w:bodyDiv w:val="1"/>
      <w:marLeft w:val="0"/>
      <w:marRight w:val="0"/>
      <w:marTop w:val="0"/>
      <w:marBottom w:val="0"/>
      <w:divBdr>
        <w:top w:val="none" w:sz="0" w:space="0" w:color="auto"/>
        <w:left w:val="none" w:sz="0" w:space="0" w:color="auto"/>
        <w:bottom w:val="none" w:sz="0" w:space="0" w:color="auto"/>
        <w:right w:val="none" w:sz="0" w:space="0" w:color="auto"/>
      </w:divBdr>
    </w:div>
    <w:div w:id="509686036">
      <w:bodyDiv w:val="1"/>
      <w:marLeft w:val="0"/>
      <w:marRight w:val="0"/>
      <w:marTop w:val="0"/>
      <w:marBottom w:val="0"/>
      <w:divBdr>
        <w:top w:val="none" w:sz="0" w:space="0" w:color="auto"/>
        <w:left w:val="none" w:sz="0" w:space="0" w:color="auto"/>
        <w:bottom w:val="none" w:sz="0" w:space="0" w:color="auto"/>
        <w:right w:val="none" w:sz="0" w:space="0" w:color="auto"/>
      </w:divBdr>
    </w:div>
    <w:div w:id="598756579">
      <w:bodyDiv w:val="1"/>
      <w:marLeft w:val="0"/>
      <w:marRight w:val="0"/>
      <w:marTop w:val="0"/>
      <w:marBottom w:val="0"/>
      <w:divBdr>
        <w:top w:val="none" w:sz="0" w:space="0" w:color="auto"/>
        <w:left w:val="none" w:sz="0" w:space="0" w:color="auto"/>
        <w:bottom w:val="none" w:sz="0" w:space="0" w:color="auto"/>
        <w:right w:val="none" w:sz="0" w:space="0" w:color="auto"/>
      </w:divBdr>
    </w:div>
    <w:div w:id="600842900">
      <w:bodyDiv w:val="1"/>
      <w:marLeft w:val="0"/>
      <w:marRight w:val="0"/>
      <w:marTop w:val="0"/>
      <w:marBottom w:val="0"/>
      <w:divBdr>
        <w:top w:val="none" w:sz="0" w:space="0" w:color="auto"/>
        <w:left w:val="none" w:sz="0" w:space="0" w:color="auto"/>
        <w:bottom w:val="none" w:sz="0" w:space="0" w:color="auto"/>
        <w:right w:val="none" w:sz="0" w:space="0" w:color="auto"/>
      </w:divBdr>
    </w:div>
    <w:div w:id="733427742">
      <w:bodyDiv w:val="1"/>
      <w:marLeft w:val="0"/>
      <w:marRight w:val="0"/>
      <w:marTop w:val="0"/>
      <w:marBottom w:val="0"/>
      <w:divBdr>
        <w:top w:val="none" w:sz="0" w:space="0" w:color="auto"/>
        <w:left w:val="none" w:sz="0" w:space="0" w:color="auto"/>
        <w:bottom w:val="none" w:sz="0" w:space="0" w:color="auto"/>
        <w:right w:val="none" w:sz="0" w:space="0" w:color="auto"/>
      </w:divBdr>
    </w:div>
    <w:div w:id="760414318">
      <w:bodyDiv w:val="1"/>
      <w:marLeft w:val="0"/>
      <w:marRight w:val="0"/>
      <w:marTop w:val="0"/>
      <w:marBottom w:val="0"/>
      <w:divBdr>
        <w:top w:val="none" w:sz="0" w:space="0" w:color="auto"/>
        <w:left w:val="none" w:sz="0" w:space="0" w:color="auto"/>
        <w:bottom w:val="none" w:sz="0" w:space="0" w:color="auto"/>
        <w:right w:val="none" w:sz="0" w:space="0" w:color="auto"/>
      </w:divBdr>
    </w:div>
    <w:div w:id="788356663">
      <w:bodyDiv w:val="1"/>
      <w:marLeft w:val="0"/>
      <w:marRight w:val="0"/>
      <w:marTop w:val="0"/>
      <w:marBottom w:val="0"/>
      <w:divBdr>
        <w:top w:val="none" w:sz="0" w:space="0" w:color="auto"/>
        <w:left w:val="none" w:sz="0" w:space="0" w:color="auto"/>
        <w:bottom w:val="none" w:sz="0" w:space="0" w:color="auto"/>
        <w:right w:val="none" w:sz="0" w:space="0" w:color="auto"/>
      </w:divBdr>
    </w:div>
    <w:div w:id="808939666">
      <w:bodyDiv w:val="1"/>
      <w:marLeft w:val="0"/>
      <w:marRight w:val="0"/>
      <w:marTop w:val="0"/>
      <w:marBottom w:val="0"/>
      <w:divBdr>
        <w:top w:val="none" w:sz="0" w:space="0" w:color="auto"/>
        <w:left w:val="none" w:sz="0" w:space="0" w:color="auto"/>
        <w:bottom w:val="none" w:sz="0" w:space="0" w:color="auto"/>
        <w:right w:val="none" w:sz="0" w:space="0" w:color="auto"/>
      </w:divBdr>
    </w:div>
    <w:div w:id="960113082">
      <w:bodyDiv w:val="1"/>
      <w:marLeft w:val="0"/>
      <w:marRight w:val="0"/>
      <w:marTop w:val="0"/>
      <w:marBottom w:val="0"/>
      <w:divBdr>
        <w:top w:val="none" w:sz="0" w:space="0" w:color="auto"/>
        <w:left w:val="none" w:sz="0" w:space="0" w:color="auto"/>
        <w:bottom w:val="none" w:sz="0" w:space="0" w:color="auto"/>
        <w:right w:val="none" w:sz="0" w:space="0" w:color="auto"/>
      </w:divBdr>
    </w:div>
    <w:div w:id="987781612">
      <w:bodyDiv w:val="1"/>
      <w:marLeft w:val="0"/>
      <w:marRight w:val="0"/>
      <w:marTop w:val="0"/>
      <w:marBottom w:val="0"/>
      <w:divBdr>
        <w:top w:val="none" w:sz="0" w:space="0" w:color="auto"/>
        <w:left w:val="none" w:sz="0" w:space="0" w:color="auto"/>
        <w:bottom w:val="none" w:sz="0" w:space="0" w:color="auto"/>
        <w:right w:val="none" w:sz="0" w:space="0" w:color="auto"/>
      </w:divBdr>
    </w:div>
    <w:div w:id="1014839170">
      <w:bodyDiv w:val="1"/>
      <w:marLeft w:val="0"/>
      <w:marRight w:val="0"/>
      <w:marTop w:val="0"/>
      <w:marBottom w:val="0"/>
      <w:divBdr>
        <w:top w:val="none" w:sz="0" w:space="0" w:color="auto"/>
        <w:left w:val="none" w:sz="0" w:space="0" w:color="auto"/>
        <w:bottom w:val="none" w:sz="0" w:space="0" w:color="auto"/>
        <w:right w:val="none" w:sz="0" w:space="0" w:color="auto"/>
      </w:divBdr>
    </w:div>
    <w:div w:id="1284768511">
      <w:bodyDiv w:val="1"/>
      <w:marLeft w:val="0"/>
      <w:marRight w:val="0"/>
      <w:marTop w:val="0"/>
      <w:marBottom w:val="0"/>
      <w:divBdr>
        <w:top w:val="none" w:sz="0" w:space="0" w:color="auto"/>
        <w:left w:val="none" w:sz="0" w:space="0" w:color="auto"/>
        <w:bottom w:val="none" w:sz="0" w:space="0" w:color="auto"/>
        <w:right w:val="none" w:sz="0" w:space="0" w:color="auto"/>
      </w:divBdr>
    </w:div>
    <w:div w:id="1318457774">
      <w:bodyDiv w:val="1"/>
      <w:marLeft w:val="0"/>
      <w:marRight w:val="0"/>
      <w:marTop w:val="0"/>
      <w:marBottom w:val="0"/>
      <w:divBdr>
        <w:top w:val="none" w:sz="0" w:space="0" w:color="auto"/>
        <w:left w:val="none" w:sz="0" w:space="0" w:color="auto"/>
        <w:bottom w:val="none" w:sz="0" w:space="0" w:color="auto"/>
        <w:right w:val="none" w:sz="0" w:space="0" w:color="auto"/>
      </w:divBdr>
    </w:div>
    <w:div w:id="1322656605">
      <w:bodyDiv w:val="1"/>
      <w:marLeft w:val="0"/>
      <w:marRight w:val="0"/>
      <w:marTop w:val="0"/>
      <w:marBottom w:val="0"/>
      <w:divBdr>
        <w:top w:val="none" w:sz="0" w:space="0" w:color="auto"/>
        <w:left w:val="none" w:sz="0" w:space="0" w:color="auto"/>
        <w:bottom w:val="none" w:sz="0" w:space="0" w:color="auto"/>
        <w:right w:val="none" w:sz="0" w:space="0" w:color="auto"/>
      </w:divBdr>
    </w:div>
    <w:div w:id="1334718829">
      <w:bodyDiv w:val="1"/>
      <w:marLeft w:val="0"/>
      <w:marRight w:val="0"/>
      <w:marTop w:val="0"/>
      <w:marBottom w:val="0"/>
      <w:divBdr>
        <w:top w:val="none" w:sz="0" w:space="0" w:color="auto"/>
        <w:left w:val="none" w:sz="0" w:space="0" w:color="auto"/>
        <w:bottom w:val="none" w:sz="0" w:space="0" w:color="auto"/>
        <w:right w:val="none" w:sz="0" w:space="0" w:color="auto"/>
      </w:divBdr>
    </w:div>
    <w:div w:id="1410269818">
      <w:bodyDiv w:val="1"/>
      <w:marLeft w:val="0"/>
      <w:marRight w:val="0"/>
      <w:marTop w:val="0"/>
      <w:marBottom w:val="0"/>
      <w:divBdr>
        <w:top w:val="none" w:sz="0" w:space="0" w:color="auto"/>
        <w:left w:val="none" w:sz="0" w:space="0" w:color="auto"/>
        <w:bottom w:val="none" w:sz="0" w:space="0" w:color="auto"/>
        <w:right w:val="none" w:sz="0" w:space="0" w:color="auto"/>
      </w:divBdr>
    </w:div>
    <w:div w:id="1576014091">
      <w:bodyDiv w:val="1"/>
      <w:marLeft w:val="0"/>
      <w:marRight w:val="0"/>
      <w:marTop w:val="0"/>
      <w:marBottom w:val="0"/>
      <w:divBdr>
        <w:top w:val="none" w:sz="0" w:space="0" w:color="auto"/>
        <w:left w:val="none" w:sz="0" w:space="0" w:color="auto"/>
        <w:bottom w:val="none" w:sz="0" w:space="0" w:color="auto"/>
        <w:right w:val="none" w:sz="0" w:space="0" w:color="auto"/>
      </w:divBdr>
    </w:div>
    <w:div w:id="1616867140">
      <w:bodyDiv w:val="1"/>
      <w:marLeft w:val="0"/>
      <w:marRight w:val="0"/>
      <w:marTop w:val="0"/>
      <w:marBottom w:val="0"/>
      <w:divBdr>
        <w:top w:val="none" w:sz="0" w:space="0" w:color="auto"/>
        <w:left w:val="none" w:sz="0" w:space="0" w:color="auto"/>
        <w:bottom w:val="none" w:sz="0" w:space="0" w:color="auto"/>
        <w:right w:val="none" w:sz="0" w:space="0" w:color="auto"/>
      </w:divBdr>
    </w:div>
    <w:div w:id="1647392273">
      <w:bodyDiv w:val="1"/>
      <w:marLeft w:val="0"/>
      <w:marRight w:val="0"/>
      <w:marTop w:val="0"/>
      <w:marBottom w:val="0"/>
      <w:divBdr>
        <w:top w:val="none" w:sz="0" w:space="0" w:color="auto"/>
        <w:left w:val="none" w:sz="0" w:space="0" w:color="auto"/>
        <w:bottom w:val="none" w:sz="0" w:space="0" w:color="auto"/>
        <w:right w:val="none" w:sz="0" w:space="0" w:color="auto"/>
      </w:divBdr>
    </w:div>
    <w:div w:id="1647780209">
      <w:bodyDiv w:val="1"/>
      <w:marLeft w:val="0"/>
      <w:marRight w:val="0"/>
      <w:marTop w:val="0"/>
      <w:marBottom w:val="0"/>
      <w:divBdr>
        <w:top w:val="none" w:sz="0" w:space="0" w:color="auto"/>
        <w:left w:val="none" w:sz="0" w:space="0" w:color="auto"/>
        <w:bottom w:val="none" w:sz="0" w:space="0" w:color="auto"/>
        <w:right w:val="none" w:sz="0" w:space="0" w:color="auto"/>
      </w:divBdr>
    </w:div>
    <w:div w:id="1664816548">
      <w:bodyDiv w:val="1"/>
      <w:marLeft w:val="0"/>
      <w:marRight w:val="0"/>
      <w:marTop w:val="0"/>
      <w:marBottom w:val="0"/>
      <w:divBdr>
        <w:top w:val="none" w:sz="0" w:space="0" w:color="auto"/>
        <w:left w:val="none" w:sz="0" w:space="0" w:color="auto"/>
        <w:bottom w:val="none" w:sz="0" w:space="0" w:color="auto"/>
        <w:right w:val="none" w:sz="0" w:space="0" w:color="auto"/>
      </w:divBdr>
    </w:div>
    <w:div w:id="1676033900">
      <w:bodyDiv w:val="1"/>
      <w:marLeft w:val="0"/>
      <w:marRight w:val="0"/>
      <w:marTop w:val="0"/>
      <w:marBottom w:val="0"/>
      <w:divBdr>
        <w:top w:val="none" w:sz="0" w:space="0" w:color="auto"/>
        <w:left w:val="none" w:sz="0" w:space="0" w:color="auto"/>
        <w:bottom w:val="none" w:sz="0" w:space="0" w:color="auto"/>
        <w:right w:val="none" w:sz="0" w:space="0" w:color="auto"/>
      </w:divBdr>
    </w:div>
    <w:div w:id="1812092288">
      <w:bodyDiv w:val="1"/>
      <w:marLeft w:val="0"/>
      <w:marRight w:val="0"/>
      <w:marTop w:val="0"/>
      <w:marBottom w:val="0"/>
      <w:divBdr>
        <w:top w:val="none" w:sz="0" w:space="0" w:color="auto"/>
        <w:left w:val="none" w:sz="0" w:space="0" w:color="auto"/>
        <w:bottom w:val="none" w:sz="0" w:space="0" w:color="auto"/>
        <w:right w:val="none" w:sz="0" w:space="0" w:color="auto"/>
      </w:divBdr>
    </w:div>
    <w:div w:id="2094545877">
      <w:bodyDiv w:val="1"/>
      <w:marLeft w:val="0"/>
      <w:marRight w:val="0"/>
      <w:marTop w:val="0"/>
      <w:marBottom w:val="0"/>
      <w:divBdr>
        <w:top w:val="none" w:sz="0" w:space="0" w:color="auto"/>
        <w:left w:val="none" w:sz="0" w:space="0" w:color="auto"/>
        <w:bottom w:val="none" w:sz="0" w:space="0" w:color="auto"/>
        <w:right w:val="none" w:sz="0" w:space="0" w:color="auto"/>
      </w:divBdr>
    </w:div>
    <w:div w:id="21383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research\Natasha\NP_RGS\Geog_sheet_p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rgbClr val="535353"/>
                </a:solidFill>
                <a:latin typeface="+mn-lt"/>
                <a:ea typeface="+mn-ea"/>
                <a:cs typeface="+mn-cs"/>
              </a:defRPr>
            </a:pPr>
            <a:r>
              <a:rPr lang="en-US" sz="1400">
                <a:solidFill>
                  <a:srgbClr val="535353"/>
                </a:solidFill>
              </a:rPr>
              <a:t>Entries (number of students)</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rgbClr val="535353"/>
              </a:solidFill>
              <a:latin typeface="+mn-lt"/>
              <a:ea typeface="+mn-ea"/>
              <a:cs typeface="+mn-cs"/>
            </a:defRPr>
          </a:pPr>
          <a:endParaRPr lang="en-US"/>
        </a:p>
      </c:txPr>
    </c:title>
    <c:autoTitleDeleted val="0"/>
    <c:plotArea>
      <c:layout/>
      <c:lineChart>
        <c:grouping val="standard"/>
        <c:varyColors val="0"/>
        <c:ser>
          <c:idx val="0"/>
          <c:order val="0"/>
          <c:tx>
            <c:strRef>
              <c:f>Summary!$A$4</c:f>
              <c:strCache>
                <c:ptCount val="1"/>
                <c:pt idx="0">
                  <c:v>Number of geography students</c:v>
                </c:pt>
              </c:strCache>
            </c:strRef>
          </c:tx>
          <c:spPr>
            <a:ln w="28575" cap="rnd">
              <a:solidFill>
                <a:schemeClr val="accent1"/>
              </a:solidFill>
              <a:round/>
            </a:ln>
            <a:effectLst/>
          </c:spPr>
          <c:marker>
            <c:symbol val="none"/>
          </c:marker>
          <c:cat>
            <c:numRef>
              <c:f>Summary!$B$3:$O$3</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Summary!$B$4:$O$4</c:f>
              <c:numCache>
                <c:formatCode>General</c:formatCode>
                <c:ptCount val="14"/>
                <c:pt idx="0">
                  <c:v>6043</c:v>
                </c:pt>
                <c:pt idx="1">
                  <c:v>6837</c:v>
                </c:pt>
                <c:pt idx="2">
                  <c:v>6181</c:v>
                </c:pt>
                <c:pt idx="3">
                  <c:v>5663</c:v>
                </c:pt>
                <c:pt idx="4">
                  <c:v>5614</c:v>
                </c:pt>
                <c:pt idx="5">
                  <c:v>6411</c:v>
                </c:pt>
                <c:pt idx="6">
                  <c:v>6533</c:v>
                </c:pt>
                <c:pt idx="7">
                  <c:v>7124</c:v>
                </c:pt>
                <c:pt idx="8">
                  <c:v>5787</c:v>
                </c:pt>
                <c:pt idx="9">
                  <c:v>6730</c:v>
                </c:pt>
                <c:pt idx="10">
                  <c:v>6745</c:v>
                </c:pt>
                <c:pt idx="11">
                  <c:v>7078</c:v>
                </c:pt>
                <c:pt idx="12">
                  <c:v>7081</c:v>
                </c:pt>
                <c:pt idx="13">
                  <c:v>7247</c:v>
                </c:pt>
              </c:numCache>
            </c:numRef>
          </c:val>
          <c:smooth val="0"/>
          <c:extLst>
            <c:ext xmlns:c16="http://schemas.microsoft.com/office/drawing/2014/chart" uri="{C3380CC4-5D6E-409C-BE32-E72D297353CC}">
              <c16:uniqueId val="{00000000-42D4-424B-AFC5-B15DE312FB93}"/>
            </c:ext>
          </c:extLst>
        </c:ser>
        <c:dLbls>
          <c:showLegendKey val="0"/>
          <c:showVal val="0"/>
          <c:showCatName val="0"/>
          <c:showSerName val="0"/>
          <c:showPercent val="0"/>
          <c:showBubbleSize val="0"/>
        </c:dLbls>
        <c:smooth val="0"/>
        <c:axId val="806714640"/>
        <c:axId val="806713008"/>
      </c:lineChart>
      <c:catAx>
        <c:axId val="80671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713008"/>
        <c:crosses val="autoZero"/>
        <c:auto val="1"/>
        <c:lblAlgn val="ctr"/>
        <c:lblOffset val="100"/>
        <c:noMultiLvlLbl val="0"/>
      </c:catAx>
      <c:valAx>
        <c:axId val="80671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71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FFT">
  <a:themeElements>
    <a:clrScheme name="FFT">
      <a:dk1>
        <a:srgbClr val="535353"/>
      </a:dk1>
      <a:lt1>
        <a:sysClr val="window" lastClr="FFFFFF"/>
      </a:lt1>
      <a:dk2>
        <a:srgbClr val="959595"/>
      </a:dk2>
      <a:lt2>
        <a:srgbClr val="F3F3F3"/>
      </a:lt2>
      <a:accent1>
        <a:srgbClr val="E6007E"/>
      </a:accent1>
      <a:accent2>
        <a:srgbClr val="2DAAE1"/>
      </a:accent2>
      <a:accent3>
        <a:srgbClr val="96C103"/>
      </a:accent3>
      <a:accent4>
        <a:srgbClr val="EFA2CC"/>
      </a:accent4>
      <a:accent5>
        <a:srgbClr val="B1DBED"/>
      </a:accent5>
      <a:accent6>
        <a:srgbClr val="D4E2AC"/>
      </a:accent6>
      <a:hlink>
        <a:srgbClr val="E6007E"/>
      </a:hlink>
      <a:folHlink>
        <a:srgbClr val="AC005E"/>
      </a:folHlink>
    </a:clrScheme>
    <a:fontScheme name="FFT">
      <a:majorFont>
        <a:latin typeface="Avenir LT Std 55 Roman"/>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265C4-5DF2-4135-958D-ABEC9626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8320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Nye</dc:creator>
  <cp:keywords/>
  <dc:description/>
  <cp:lastModifiedBy>Caitlin Watson</cp:lastModifiedBy>
  <cp:revision>2</cp:revision>
  <dcterms:created xsi:type="dcterms:W3CDTF">2020-11-23T16:42:00Z</dcterms:created>
  <dcterms:modified xsi:type="dcterms:W3CDTF">2020-11-23T16:42:00Z</dcterms:modified>
</cp:coreProperties>
</file>