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7FF4" w14:textId="77FF6D5A" w:rsidR="004331C8" w:rsidRDefault="00F66267" w:rsidP="00F66267">
      <w:pPr>
        <w:pStyle w:val="Heading1"/>
        <w:ind w:left="1440"/>
        <w:contextualSpacing/>
        <w:rPr>
          <w:rFonts w:ascii="Calibri" w:hAnsi="Calibri" w:cs="Calibri"/>
          <w:sz w:val="24"/>
          <w:szCs w:val="24"/>
          <w:lang w:val="en-US"/>
        </w:rPr>
      </w:pPr>
      <w:r w:rsidRPr="00F66267">
        <w:rPr>
          <w:rFonts w:ascii="Calibri" w:hAnsi="Calibri" w:cs="Calibri"/>
          <w:noProof/>
          <w:sz w:val="24"/>
          <w:szCs w:val="24"/>
          <w:lang w:eastAsia="en-GB"/>
        </w:rPr>
        <w:drawing>
          <wp:anchor distT="0" distB="0" distL="114300" distR="114300" simplePos="0" relativeHeight="251660288" behindDoc="0" locked="0" layoutInCell="1" allowOverlap="1" wp14:anchorId="1D130890" wp14:editId="7E3C4151">
            <wp:simplePos x="0" y="0"/>
            <wp:positionH relativeFrom="margin">
              <wp:posOffset>0</wp:posOffset>
            </wp:positionH>
            <wp:positionV relativeFrom="margin">
              <wp:posOffset>338455</wp:posOffset>
            </wp:positionV>
            <wp:extent cx="1219200" cy="3003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T_EduDatalab_Logo_No_SL_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300355"/>
                    </a:xfrm>
                    <a:prstGeom prst="rect">
                      <a:avLst/>
                    </a:prstGeom>
                  </pic:spPr>
                </pic:pic>
              </a:graphicData>
            </a:graphic>
          </wp:anchor>
        </w:drawing>
      </w:r>
    </w:p>
    <w:p w14:paraId="083510EF" w14:textId="77777777" w:rsidR="00F66267" w:rsidRPr="00F66267" w:rsidRDefault="00F66267" w:rsidP="00F66267">
      <w:pPr>
        <w:rPr>
          <w:lang w:val="en-US"/>
        </w:rPr>
      </w:pPr>
    </w:p>
    <w:p w14:paraId="65C1C883" w14:textId="77777777" w:rsidR="00F66267" w:rsidRDefault="00F66267" w:rsidP="004331C8">
      <w:pPr>
        <w:pStyle w:val="Heading1"/>
        <w:contextualSpacing/>
        <w:rPr>
          <w:rFonts w:ascii="Calibri" w:hAnsi="Calibri" w:cs="Calibri"/>
          <w:b/>
          <w:sz w:val="24"/>
          <w:szCs w:val="24"/>
          <w:lang w:val="en-US"/>
        </w:rPr>
      </w:pPr>
    </w:p>
    <w:p w14:paraId="563630EA" w14:textId="77777777" w:rsidR="00F66267" w:rsidRDefault="00F66267" w:rsidP="004331C8">
      <w:pPr>
        <w:pStyle w:val="Heading1"/>
        <w:contextualSpacing/>
        <w:rPr>
          <w:rFonts w:ascii="Calibri" w:hAnsi="Calibri" w:cs="Calibri"/>
          <w:b/>
          <w:sz w:val="24"/>
          <w:szCs w:val="24"/>
          <w:lang w:val="en-US"/>
        </w:rPr>
      </w:pPr>
    </w:p>
    <w:p w14:paraId="3B5D6360" w14:textId="19D772CC" w:rsidR="004331C8" w:rsidRPr="00F66267" w:rsidRDefault="007A6A2A" w:rsidP="004331C8">
      <w:pPr>
        <w:pStyle w:val="Heading1"/>
        <w:contextualSpacing/>
        <w:rPr>
          <w:rFonts w:ascii="Calibri" w:hAnsi="Calibri" w:cs="Calibri"/>
          <w:b/>
          <w:sz w:val="24"/>
          <w:szCs w:val="24"/>
          <w:lang w:val="en-US"/>
        </w:rPr>
      </w:pPr>
      <w:r w:rsidRPr="00F66267">
        <w:rPr>
          <w:rFonts w:ascii="Calibri" w:hAnsi="Calibri" w:cs="Calibri"/>
          <w:b/>
          <w:sz w:val="24"/>
          <w:szCs w:val="24"/>
          <w:lang w:val="en-US"/>
        </w:rPr>
        <w:t xml:space="preserve">Analysis of entries and attainment in GCSE </w:t>
      </w:r>
      <w:r w:rsidR="00AA001B" w:rsidRPr="00F66267">
        <w:rPr>
          <w:rFonts w:ascii="Calibri" w:hAnsi="Calibri" w:cs="Calibri"/>
          <w:b/>
          <w:sz w:val="24"/>
          <w:szCs w:val="24"/>
          <w:lang w:val="en-US"/>
        </w:rPr>
        <w:t xml:space="preserve">and A-Level </w:t>
      </w:r>
      <w:r w:rsidRPr="00F66267">
        <w:rPr>
          <w:rFonts w:ascii="Calibri" w:hAnsi="Calibri" w:cs="Calibri"/>
          <w:b/>
          <w:sz w:val="24"/>
          <w:szCs w:val="24"/>
          <w:lang w:val="en-US"/>
        </w:rPr>
        <w:t>geography</w:t>
      </w:r>
      <w:r w:rsidR="00532300" w:rsidRPr="00F66267">
        <w:rPr>
          <w:rFonts w:ascii="Calibri" w:hAnsi="Calibri" w:cs="Calibri"/>
          <w:b/>
          <w:sz w:val="24"/>
          <w:szCs w:val="24"/>
          <w:lang w:val="en-US"/>
        </w:rPr>
        <w:t xml:space="preserve"> – </w:t>
      </w:r>
      <w:r w:rsidR="00AA001B" w:rsidRPr="00F66267">
        <w:rPr>
          <w:rFonts w:ascii="Calibri" w:hAnsi="Calibri" w:cs="Calibri"/>
          <w:b/>
          <w:sz w:val="24"/>
          <w:szCs w:val="24"/>
          <w:lang w:val="en-US"/>
        </w:rPr>
        <w:t>methodology</w:t>
      </w:r>
    </w:p>
    <w:p w14:paraId="13A61F2B" w14:textId="7E2AC807" w:rsidR="00072460" w:rsidRPr="00F66267" w:rsidRDefault="00AA001B" w:rsidP="00F66267">
      <w:pPr>
        <w:pStyle w:val="Heading1"/>
        <w:contextualSpacing/>
        <w:rPr>
          <w:rFonts w:ascii="Calibri" w:hAnsi="Calibri" w:cs="Calibri"/>
          <w:b/>
          <w:bCs/>
          <w:sz w:val="24"/>
          <w:szCs w:val="24"/>
        </w:rPr>
      </w:pPr>
      <w:r w:rsidRPr="00F66267">
        <w:rPr>
          <w:rFonts w:ascii="Calibri" w:hAnsi="Calibri" w:cs="Calibri"/>
          <w:b/>
          <w:sz w:val="24"/>
          <w:szCs w:val="24"/>
          <w:lang w:val="en-US"/>
        </w:rPr>
        <w:t>Methodology document for</w:t>
      </w:r>
      <w:r w:rsidR="007A6A2A" w:rsidRPr="00F66267">
        <w:rPr>
          <w:rFonts w:ascii="Calibri" w:hAnsi="Calibri" w:cs="Calibri"/>
          <w:b/>
          <w:sz w:val="24"/>
          <w:szCs w:val="24"/>
          <w:lang w:val="en-US"/>
        </w:rPr>
        <w:t xml:space="preserve"> the Royal Geographical Society</w:t>
      </w:r>
      <w:r w:rsidR="00F66267" w:rsidRPr="00F66267">
        <w:rPr>
          <w:rFonts w:ascii="Calibri" w:hAnsi="Calibri" w:cs="Calibri"/>
          <w:b/>
          <w:sz w:val="24"/>
          <w:szCs w:val="24"/>
          <w:lang w:val="en-US"/>
        </w:rPr>
        <w:t xml:space="preserve"> (with IBG)</w:t>
      </w:r>
    </w:p>
    <w:p w14:paraId="4E6CDEB5" w14:textId="59BDF12D" w:rsidR="00072460" w:rsidRPr="00F66267" w:rsidRDefault="00072460" w:rsidP="00481529">
      <w:pPr>
        <w:spacing w:after="160" w:line="259" w:lineRule="auto"/>
        <w:contextualSpacing/>
        <w:rPr>
          <w:b/>
          <w:bCs/>
          <w:sz w:val="24"/>
          <w:szCs w:val="24"/>
        </w:rPr>
      </w:pPr>
    </w:p>
    <w:p w14:paraId="377EDC21" w14:textId="0F4F2C20" w:rsidR="00072460" w:rsidRPr="00F66267" w:rsidRDefault="00072460" w:rsidP="00481529">
      <w:pPr>
        <w:spacing w:after="160" w:line="259" w:lineRule="auto"/>
        <w:contextualSpacing/>
        <w:rPr>
          <w:b/>
          <w:bCs/>
          <w:sz w:val="24"/>
          <w:szCs w:val="24"/>
        </w:rPr>
      </w:pPr>
    </w:p>
    <w:p w14:paraId="4264DE24" w14:textId="30815659" w:rsidR="00072460" w:rsidRPr="00F66267" w:rsidRDefault="003B78CE" w:rsidP="00CC2619">
      <w:pPr>
        <w:pStyle w:val="Heading2"/>
        <w:jc w:val="right"/>
        <w:rPr>
          <w:rFonts w:ascii="Calibri" w:hAnsi="Calibri" w:cs="Calibri"/>
          <w:sz w:val="24"/>
          <w:szCs w:val="24"/>
        </w:rPr>
      </w:pPr>
      <w:r w:rsidRPr="00F66267">
        <w:rPr>
          <w:rFonts w:ascii="Calibri" w:hAnsi="Calibri" w:cs="Calibri"/>
          <w:sz w:val="24"/>
          <w:szCs w:val="24"/>
        </w:rPr>
        <w:t>Philip Nye</w:t>
      </w:r>
    </w:p>
    <w:p w14:paraId="67795001" w14:textId="6CDA736A" w:rsidR="00072460" w:rsidRPr="00F66267" w:rsidRDefault="003B78CE" w:rsidP="00CC2619">
      <w:pPr>
        <w:pStyle w:val="Heading2"/>
        <w:jc w:val="right"/>
        <w:rPr>
          <w:rFonts w:ascii="Calibri" w:hAnsi="Calibri" w:cs="Calibri"/>
          <w:sz w:val="24"/>
          <w:szCs w:val="24"/>
        </w:rPr>
      </w:pPr>
      <w:r w:rsidRPr="00F66267">
        <w:rPr>
          <w:rFonts w:ascii="Calibri" w:hAnsi="Calibri" w:cs="Calibri"/>
          <w:sz w:val="24"/>
          <w:szCs w:val="24"/>
        </w:rPr>
        <w:t>Dave Thomson</w:t>
      </w:r>
    </w:p>
    <w:p w14:paraId="041744F8" w14:textId="33F8818E" w:rsidR="00072460" w:rsidRPr="00F66267" w:rsidRDefault="00072460" w:rsidP="00CC2619">
      <w:pPr>
        <w:pStyle w:val="Heading2"/>
        <w:jc w:val="right"/>
        <w:rPr>
          <w:rFonts w:ascii="Calibri" w:hAnsi="Calibri" w:cs="Calibri"/>
          <w:sz w:val="24"/>
          <w:szCs w:val="24"/>
        </w:rPr>
      </w:pPr>
    </w:p>
    <w:p w14:paraId="43F674F5" w14:textId="0C021149" w:rsidR="00724BB0" w:rsidRDefault="00724BB0">
      <w:pPr>
        <w:spacing w:after="160" w:line="259" w:lineRule="auto"/>
        <w:rPr>
          <w:rFonts w:eastAsiaTheme="majorEastAsia"/>
          <w:color w:val="AC005D" w:themeColor="accent1" w:themeShade="BF"/>
          <w:sz w:val="24"/>
          <w:szCs w:val="24"/>
        </w:rPr>
      </w:pPr>
      <w:r>
        <w:rPr>
          <w:sz w:val="24"/>
          <w:szCs w:val="24"/>
        </w:rPr>
        <w:br w:type="page"/>
      </w:r>
    </w:p>
    <w:p w14:paraId="465DD56A" w14:textId="77777777" w:rsidR="00F66267" w:rsidRDefault="00F66267" w:rsidP="00F66267">
      <w:pPr>
        <w:pStyle w:val="Heading2"/>
        <w:jc w:val="right"/>
        <w:rPr>
          <w:rFonts w:ascii="Calibri" w:hAnsi="Calibri" w:cs="Calibri"/>
          <w:sz w:val="24"/>
          <w:szCs w:val="24"/>
        </w:rPr>
      </w:pPr>
    </w:p>
    <w:p w14:paraId="7F4E29C2" w14:textId="31EF49FE" w:rsidR="00532300" w:rsidRPr="00F66267" w:rsidRDefault="000D2107" w:rsidP="00F66267">
      <w:pPr>
        <w:pStyle w:val="Heading2"/>
        <w:rPr>
          <w:rFonts w:ascii="Calibri" w:hAnsi="Calibri" w:cs="Calibri"/>
          <w:b/>
          <w:sz w:val="20"/>
          <w:szCs w:val="20"/>
        </w:rPr>
      </w:pPr>
      <w:r w:rsidRPr="00F66267">
        <w:rPr>
          <w:rFonts w:ascii="Calibri" w:hAnsi="Calibri" w:cs="Calibri"/>
          <w:b/>
          <w:sz w:val="20"/>
          <w:szCs w:val="20"/>
        </w:rPr>
        <w:t xml:space="preserve">1. </w:t>
      </w:r>
      <w:r w:rsidR="00AA001B" w:rsidRPr="00F66267">
        <w:rPr>
          <w:rFonts w:ascii="Calibri" w:hAnsi="Calibri" w:cs="Calibri"/>
          <w:b/>
          <w:sz w:val="20"/>
          <w:szCs w:val="20"/>
        </w:rPr>
        <w:t>Methodology</w:t>
      </w:r>
    </w:p>
    <w:p w14:paraId="60F1B31E" w14:textId="77777777" w:rsidR="00F66267" w:rsidRDefault="00F66267" w:rsidP="00532300">
      <w:pPr>
        <w:pStyle w:val="Heading3"/>
        <w:rPr>
          <w:rFonts w:ascii="Calibri" w:hAnsi="Calibri" w:cs="Calibri"/>
          <w:sz w:val="20"/>
          <w:szCs w:val="20"/>
        </w:rPr>
      </w:pPr>
    </w:p>
    <w:p w14:paraId="04E2B6BB" w14:textId="5294692D" w:rsidR="00532300" w:rsidRPr="00F66267" w:rsidRDefault="00532300" w:rsidP="00532300">
      <w:pPr>
        <w:pStyle w:val="Heading3"/>
        <w:rPr>
          <w:rFonts w:ascii="Calibri" w:hAnsi="Calibri" w:cs="Calibri"/>
          <w:b/>
          <w:sz w:val="20"/>
          <w:szCs w:val="20"/>
        </w:rPr>
      </w:pPr>
      <w:r w:rsidRPr="00F66267">
        <w:rPr>
          <w:rFonts w:ascii="Calibri" w:hAnsi="Calibri" w:cs="Calibri"/>
          <w:b/>
          <w:sz w:val="20"/>
          <w:szCs w:val="20"/>
        </w:rPr>
        <w:t>Overview</w:t>
      </w:r>
    </w:p>
    <w:p w14:paraId="7A0D048A" w14:textId="77777777" w:rsidR="00724BB0" w:rsidRDefault="00724BB0" w:rsidP="007A6A2A">
      <w:pPr>
        <w:rPr>
          <w:sz w:val="20"/>
          <w:szCs w:val="20"/>
        </w:rPr>
      </w:pPr>
    </w:p>
    <w:p w14:paraId="61F47451" w14:textId="10515371" w:rsidR="00ED1EF1" w:rsidRPr="00F66267" w:rsidRDefault="00532300" w:rsidP="007A6A2A">
      <w:pPr>
        <w:rPr>
          <w:sz w:val="20"/>
          <w:szCs w:val="20"/>
        </w:rPr>
      </w:pPr>
      <w:r w:rsidRPr="00F66267">
        <w:rPr>
          <w:sz w:val="20"/>
          <w:szCs w:val="20"/>
        </w:rPr>
        <w:t xml:space="preserve">This work </w:t>
      </w:r>
      <w:r w:rsidR="00724BB0">
        <w:rPr>
          <w:sz w:val="20"/>
          <w:szCs w:val="20"/>
        </w:rPr>
        <w:t>was</w:t>
      </w:r>
      <w:r w:rsidRPr="00F66267">
        <w:rPr>
          <w:sz w:val="20"/>
          <w:szCs w:val="20"/>
        </w:rPr>
        <w:t xml:space="preserve"> completed by analysing the Department for Education’s National Pupil Database.</w:t>
      </w:r>
      <w:r w:rsidR="00724BB0">
        <w:rPr>
          <w:sz w:val="20"/>
          <w:szCs w:val="20"/>
        </w:rPr>
        <w:t xml:space="preserve"> </w:t>
      </w:r>
      <w:r w:rsidRPr="00F66267">
        <w:rPr>
          <w:sz w:val="20"/>
          <w:szCs w:val="20"/>
        </w:rPr>
        <w:t xml:space="preserve">Coverage includes all those completing GCSEs </w:t>
      </w:r>
      <w:r w:rsidR="008831BC" w:rsidRPr="00F66267">
        <w:rPr>
          <w:sz w:val="20"/>
          <w:szCs w:val="20"/>
        </w:rPr>
        <w:t>(or regulated international GCSE</w:t>
      </w:r>
      <w:r w:rsidR="00724BB0">
        <w:rPr>
          <w:sz w:val="20"/>
          <w:szCs w:val="20"/>
        </w:rPr>
        <w:t>s</w:t>
      </w:r>
      <w:r w:rsidR="008831BC" w:rsidRPr="00F66267">
        <w:rPr>
          <w:sz w:val="20"/>
          <w:szCs w:val="20"/>
        </w:rPr>
        <w:t xml:space="preserve">) </w:t>
      </w:r>
      <w:r w:rsidRPr="00F66267">
        <w:rPr>
          <w:sz w:val="20"/>
          <w:szCs w:val="20"/>
        </w:rPr>
        <w:t>and A-Levels in state-funded or independent establishments in England for the period 2009/10 to 2017/18</w:t>
      </w:r>
      <w:r w:rsidR="006D4ED3" w:rsidRPr="00F66267">
        <w:rPr>
          <w:rStyle w:val="FootnoteReference"/>
          <w:sz w:val="20"/>
          <w:szCs w:val="20"/>
        </w:rPr>
        <w:footnoteReference w:id="1"/>
      </w:r>
      <w:r w:rsidRPr="00F66267">
        <w:rPr>
          <w:sz w:val="20"/>
          <w:szCs w:val="20"/>
        </w:rPr>
        <w:t>. State-funded establishments includes</w:t>
      </w:r>
      <w:r w:rsidR="00ED1EF1" w:rsidRPr="00F66267">
        <w:rPr>
          <w:sz w:val="20"/>
          <w:szCs w:val="20"/>
        </w:rPr>
        <w:t xml:space="preserve"> special sc</w:t>
      </w:r>
      <w:r w:rsidRPr="00F66267">
        <w:rPr>
          <w:sz w:val="20"/>
          <w:szCs w:val="20"/>
        </w:rPr>
        <w:t>hools and alternative provision</w:t>
      </w:r>
      <w:r w:rsidR="00C112A1" w:rsidRPr="00F66267">
        <w:rPr>
          <w:sz w:val="20"/>
          <w:szCs w:val="20"/>
        </w:rPr>
        <w:t>.</w:t>
      </w:r>
    </w:p>
    <w:p w14:paraId="22E37DCC" w14:textId="30049C52" w:rsidR="008831BC" w:rsidRPr="00F66267" w:rsidRDefault="008831BC" w:rsidP="007A6A2A">
      <w:pPr>
        <w:rPr>
          <w:sz w:val="20"/>
          <w:szCs w:val="20"/>
        </w:rPr>
      </w:pPr>
    </w:p>
    <w:p w14:paraId="4FCF84A7" w14:textId="3E8BBC0F" w:rsidR="00811D0E" w:rsidRPr="00F66267" w:rsidRDefault="00F16E02">
      <w:pPr>
        <w:spacing w:after="160" w:line="259" w:lineRule="auto"/>
        <w:rPr>
          <w:sz w:val="20"/>
          <w:szCs w:val="20"/>
        </w:rPr>
      </w:pPr>
      <w:r w:rsidRPr="00F66267">
        <w:rPr>
          <w:sz w:val="20"/>
          <w:szCs w:val="20"/>
        </w:rPr>
        <w:t>Percentages have been calculated based</w:t>
      </w:r>
      <w:r w:rsidR="00811D0E" w:rsidRPr="00F66267">
        <w:rPr>
          <w:sz w:val="20"/>
          <w:szCs w:val="20"/>
        </w:rPr>
        <w:t xml:space="preserve"> on the following denominators:</w:t>
      </w:r>
    </w:p>
    <w:p w14:paraId="4E7E13B9" w14:textId="7AAAE1DD" w:rsidR="00811D0E" w:rsidRPr="00F66267" w:rsidRDefault="00811D0E" w:rsidP="00811D0E">
      <w:pPr>
        <w:pStyle w:val="ListParagraph"/>
        <w:numPr>
          <w:ilvl w:val="0"/>
          <w:numId w:val="25"/>
        </w:numPr>
        <w:spacing w:after="160" w:line="259" w:lineRule="auto"/>
        <w:rPr>
          <w:rFonts w:eastAsiaTheme="majorEastAsia" w:cs="Calibri"/>
          <w:sz w:val="20"/>
          <w:szCs w:val="20"/>
        </w:rPr>
      </w:pPr>
      <w:r w:rsidRPr="00F66267">
        <w:rPr>
          <w:rFonts w:cs="Calibri"/>
          <w:b/>
          <w:sz w:val="20"/>
          <w:szCs w:val="20"/>
        </w:rPr>
        <w:t>GCSE</w:t>
      </w:r>
      <w:r w:rsidR="00CE4A8C" w:rsidRPr="00F66267">
        <w:rPr>
          <w:rFonts w:cs="Calibri"/>
          <w:b/>
          <w:sz w:val="20"/>
          <w:szCs w:val="20"/>
        </w:rPr>
        <w:t xml:space="preserve"> entries</w:t>
      </w:r>
      <w:r w:rsidRPr="00F66267">
        <w:rPr>
          <w:rFonts w:cs="Calibri"/>
          <w:sz w:val="20"/>
          <w:szCs w:val="20"/>
        </w:rPr>
        <w:t>: the total number of pupils at the end of Key Stage 4 in the year under consideration</w:t>
      </w:r>
    </w:p>
    <w:p w14:paraId="08A7DC3E" w14:textId="40F805EE" w:rsidR="00CE4A8C" w:rsidRPr="00F66267" w:rsidRDefault="00CE4A8C" w:rsidP="00811D0E">
      <w:pPr>
        <w:pStyle w:val="ListParagraph"/>
        <w:numPr>
          <w:ilvl w:val="0"/>
          <w:numId w:val="25"/>
        </w:numPr>
        <w:spacing w:after="160" w:line="259" w:lineRule="auto"/>
        <w:rPr>
          <w:rFonts w:eastAsiaTheme="majorEastAsia" w:cs="Calibri"/>
          <w:sz w:val="20"/>
          <w:szCs w:val="20"/>
        </w:rPr>
      </w:pPr>
      <w:r w:rsidRPr="00F66267">
        <w:rPr>
          <w:rFonts w:cs="Calibri"/>
          <w:b/>
          <w:sz w:val="20"/>
          <w:szCs w:val="20"/>
        </w:rPr>
        <w:t xml:space="preserve">GCSE grades: </w:t>
      </w:r>
      <w:r w:rsidRPr="00F66267">
        <w:rPr>
          <w:rFonts w:cs="Calibri"/>
          <w:sz w:val="20"/>
          <w:szCs w:val="20"/>
        </w:rPr>
        <w:t>GCSE geography entrants</w:t>
      </w:r>
    </w:p>
    <w:p w14:paraId="28E16CB7" w14:textId="57A27A10" w:rsidR="00CE4A8C" w:rsidRPr="00F66267" w:rsidRDefault="00811D0E" w:rsidP="00CE4A8C">
      <w:pPr>
        <w:pStyle w:val="ListParagraph"/>
        <w:numPr>
          <w:ilvl w:val="0"/>
          <w:numId w:val="25"/>
        </w:numPr>
        <w:spacing w:after="160" w:line="259" w:lineRule="auto"/>
        <w:rPr>
          <w:rFonts w:eastAsiaTheme="majorEastAsia" w:cs="Calibri"/>
          <w:sz w:val="20"/>
          <w:szCs w:val="20"/>
        </w:rPr>
      </w:pPr>
      <w:r w:rsidRPr="00F66267">
        <w:rPr>
          <w:rFonts w:cs="Calibri"/>
          <w:b/>
          <w:sz w:val="20"/>
          <w:szCs w:val="20"/>
        </w:rPr>
        <w:t>A-Level</w:t>
      </w:r>
      <w:r w:rsidR="00CE4A8C" w:rsidRPr="00F66267">
        <w:rPr>
          <w:rFonts w:cs="Calibri"/>
          <w:b/>
          <w:sz w:val="20"/>
          <w:szCs w:val="20"/>
        </w:rPr>
        <w:t xml:space="preserve"> entries</w:t>
      </w:r>
      <w:r w:rsidRPr="00F66267">
        <w:rPr>
          <w:rFonts w:cs="Calibri"/>
          <w:sz w:val="20"/>
          <w:szCs w:val="20"/>
        </w:rPr>
        <w:t xml:space="preserve">: </w:t>
      </w:r>
      <w:r w:rsidR="00F16E02" w:rsidRPr="00F66267">
        <w:rPr>
          <w:rFonts w:cs="Calibri"/>
          <w:sz w:val="20"/>
          <w:szCs w:val="20"/>
        </w:rPr>
        <w:t xml:space="preserve">the </w:t>
      </w:r>
      <w:r w:rsidRPr="00F66267">
        <w:rPr>
          <w:rFonts w:cs="Calibri"/>
          <w:sz w:val="20"/>
          <w:szCs w:val="20"/>
        </w:rPr>
        <w:t xml:space="preserve">total </w:t>
      </w:r>
      <w:r w:rsidR="00F16E02" w:rsidRPr="00F66267">
        <w:rPr>
          <w:rFonts w:cs="Calibri"/>
          <w:sz w:val="20"/>
          <w:szCs w:val="20"/>
        </w:rPr>
        <w:t xml:space="preserve">number of </w:t>
      </w:r>
      <w:r w:rsidRPr="00F66267">
        <w:rPr>
          <w:rFonts w:cs="Calibri"/>
          <w:sz w:val="20"/>
          <w:szCs w:val="20"/>
        </w:rPr>
        <w:t xml:space="preserve">students </w:t>
      </w:r>
      <w:r w:rsidR="00F16E02" w:rsidRPr="00F66267">
        <w:rPr>
          <w:rFonts w:cs="Calibri"/>
          <w:sz w:val="20"/>
          <w:szCs w:val="20"/>
        </w:rPr>
        <w:t xml:space="preserve">who entered one or more A-Levels in the year </w:t>
      </w:r>
      <w:r w:rsidRPr="00F66267">
        <w:rPr>
          <w:rFonts w:cs="Calibri"/>
          <w:sz w:val="20"/>
          <w:szCs w:val="20"/>
        </w:rPr>
        <w:t>under consideration</w:t>
      </w:r>
    </w:p>
    <w:p w14:paraId="0F3197E0" w14:textId="12CAB192" w:rsidR="00CE4A8C" w:rsidRPr="00F66267" w:rsidRDefault="00CE4A8C" w:rsidP="00CE4A8C">
      <w:pPr>
        <w:pStyle w:val="ListParagraph"/>
        <w:numPr>
          <w:ilvl w:val="0"/>
          <w:numId w:val="25"/>
        </w:numPr>
        <w:spacing w:after="160" w:line="259" w:lineRule="auto"/>
        <w:rPr>
          <w:rFonts w:eastAsiaTheme="majorEastAsia" w:cs="Calibri"/>
          <w:sz w:val="20"/>
          <w:szCs w:val="20"/>
        </w:rPr>
      </w:pPr>
      <w:r w:rsidRPr="00F66267">
        <w:rPr>
          <w:rFonts w:cs="Calibri"/>
          <w:b/>
          <w:sz w:val="20"/>
          <w:szCs w:val="20"/>
        </w:rPr>
        <w:t xml:space="preserve">A-Level </w:t>
      </w:r>
      <w:r w:rsidR="00724BB0">
        <w:rPr>
          <w:rFonts w:cs="Calibri"/>
          <w:b/>
          <w:sz w:val="20"/>
          <w:szCs w:val="20"/>
        </w:rPr>
        <w:t xml:space="preserve">geography </w:t>
      </w:r>
      <w:r w:rsidRPr="00F66267">
        <w:rPr>
          <w:rFonts w:cs="Calibri"/>
          <w:b/>
          <w:sz w:val="20"/>
          <w:szCs w:val="20"/>
        </w:rPr>
        <w:t xml:space="preserve">entries: </w:t>
      </w:r>
      <w:r w:rsidRPr="00F66267">
        <w:rPr>
          <w:rFonts w:cs="Calibri"/>
          <w:sz w:val="20"/>
          <w:szCs w:val="20"/>
        </w:rPr>
        <w:t>A-Level geography entrants</w:t>
      </w:r>
    </w:p>
    <w:p w14:paraId="5FA812A6" w14:textId="40ADE396" w:rsidR="008831BC" w:rsidRPr="00F66267" w:rsidRDefault="008831BC" w:rsidP="00532300">
      <w:pPr>
        <w:pStyle w:val="Heading3"/>
        <w:rPr>
          <w:rFonts w:ascii="Calibri" w:hAnsi="Calibri" w:cs="Calibri"/>
          <w:b/>
          <w:sz w:val="20"/>
          <w:szCs w:val="20"/>
        </w:rPr>
      </w:pPr>
      <w:r w:rsidRPr="00F66267">
        <w:rPr>
          <w:rFonts w:ascii="Calibri" w:hAnsi="Calibri" w:cs="Calibri"/>
          <w:b/>
          <w:sz w:val="20"/>
          <w:szCs w:val="20"/>
        </w:rPr>
        <w:t>Qualification reform</w:t>
      </w:r>
    </w:p>
    <w:p w14:paraId="050AF35A" w14:textId="77777777" w:rsidR="00724BB0" w:rsidRDefault="00724BB0" w:rsidP="008831BC">
      <w:pPr>
        <w:rPr>
          <w:sz w:val="20"/>
          <w:szCs w:val="20"/>
        </w:rPr>
      </w:pPr>
    </w:p>
    <w:p w14:paraId="758F9A1C" w14:textId="0D5C9C26" w:rsidR="008831BC" w:rsidRPr="00F66267" w:rsidRDefault="008831BC" w:rsidP="008831BC">
      <w:pPr>
        <w:rPr>
          <w:sz w:val="20"/>
          <w:szCs w:val="20"/>
        </w:rPr>
      </w:pPr>
      <w:r w:rsidRPr="00F66267">
        <w:rPr>
          <w:sz w:val="20"/>
          <w:szCs w:val="20"/>
        </w:rPr>
        <w:t xml:space="preserve">All </w:t>
      </w:r>
      <w:r w:rsidRPr="00724BB0">
        <w:rPr>
          <w:b/>
          <w:i/>
          <w:sz w:val="20"/>
          <w:szCs w:val="20"/>
        </w:rPr>
        <w:t>GCSEs</w:t>
      </w:r>
      <w:r w:rsidRPr="00F66267">
        <w:rPr>
          <w:sz w:val="20"/>
          <w:szCs w:val="20"/>
        </w:rPr>
        <w:t xml:space="preserve"> in England have been reformed in recent years, which has involved a move from A*-G grades to 9-1 grades. Grades are not directly comparable, except at a number of key grade thresholds:</w:t>
      </w:r>
    </w:p>
    <w:p w14:paraId="34DF2344" w14:textId="5DA3A71C" w:rsidR="008831BC" w:rsidRPr="00F66267" w:rsidRDefault="008831BC" w:rsidP="008831BC">
      <w:pPr>
        <w:pStyle w:val="ListParagraph"/>
        <w:numPr>
          <w:ilvl w:val="0"/>
          <w:numId w:val="24"/>
        </w:numPr>
        <w:rPr>
          <w:rFonts w:cs="Calibri"/>
          <w:sz w:val="20"/>
          <w:szCs w:val="20"/>
        </w:rPr>
      </w:pPr>
      <w:r w:rsidRPr="00F66267">
        <w:rPr>
          <w:rFonts w:cs="Calibri"/>
          <w:sz w:val="20"/>
          <w:szCs w:val="20"/>
        </w:rPr>
        <w:t>achieving a grade 7 or above is equivalent to achieving a grade A or above</w:t>
      </w:r>
    </w:p>
    <w:p w14:paraId="06D51184" w14:textId="77777777" w:rsidR="008831BC" w:rsidRPr="00F66267" w:rsidRDefault="008831BC" w:rsidP="008831BC">
      <w:pPr>
        <w:pStyle w:val="ListParagraph"/>
        <w:numPr>
          <w:ilvl w:val="0"/>
          <w:numId w:val="24"/>
        </w:numPr>
        <w:rPr>
          <w:rFonts w:cs="Calibri"/>
          <w:sz w:val="20"/>
          <w:szCs w:val="20"/>
        </w:rPr>
      </w:pPr>
      <w:r w:rsidRPr="00F66267">
        <w:rPr>
          <w:rFonts w:cs="Calibri"/>
          <w:sz w:val="20"/>
          <w:szCs w:val="20"/>
        </w:rPr>
        <w:t>achieving a grade 4 or above is equivalent to achieving a grade A or above</w:t>
      </w:r>
    </w:p>
    <w:p w14:paraId="6A4EBC7A" w14:textId="6E86791E" w:rsidR="008831BC" w:rsidRPr="00F66267" w:rsidRDefault="008831BC" w:rsidP="008831BC">
      <w:pPr>
        <w:pStyle w:val="ListParagraph"/>
        <w:numPr>
          <w:ilvl w:val="0"/>
          <w:numId w:val="24"/>
        </w:numPr>
        <w:rPr>
          <w:rFonts w:cs="Calibri"/>
          <w:sz w:val="20"/>
          <w:szCs w:val="20"/>
        </w:rPr>
      </w:pPr>
      <w:r w:rsidRPr="00F66267">
        <w:rPr>
          <w:rFonts w:cs="Calibri"/>
          <w:sz w:val="20"/>
          <w:szCs w:val="20"/>
        </w:rPr>
        <w:t>achieving a grade 1 or above is equivalent to achieving a grade G or above</w:t>
      </w:r>
    </w:p>
    <w:p w14:paraId="37E1627E" w14:textId="23B0C4E0" w:rsidR="008831BC" w:rsidRPr="00F66267" w:rsidRDefault="008831BC" w:rsidP="008831BC">
      <w:pPr>
        <w:rPr>
          <w:sz w:val="20"/>
          <w:szCs w:val="20"/>
        </w:rPr>
      </w:pPr>
    </w:p>
    <w:p w14:paraId="4F7D92A0" w14:textId="28C5F904" w:rsidR="008831BC" w:rsidRPr="00F66267" w:rsidRDefault="008831BC" w:rsidP="008831BC">
      <w:pPr>
        <w:rPr>
          <w:sz w:val="20"/>
          <w:szCs w:val="20"/>
        </w:rPr>
      </w:pPr>
      <w:r w:rsidRPr="00F66267">
        <w:rPr>
          <w:sz w:val="20"/>
          <w:szCs w:val="20"/>
        </w:rPr>
        <w:t xml:space="preserve">A table displaying how all grades relate to one another </w:t>
      </w:r>
      <w:hyperlink r:id="rId9" w:history="1">
        <w:r w:rsidRPr="00F66267">
          <w:rPr>
            <w:rStyle w:val="Hyperlink"/>
            <w:sz w:val="20"/>
            <w:szCs w:val="20"/>
          </w:rPr>
          <w:t>can be found here</w:t>
        </w:r>
      </w:hyperlink>
      <w:r w:rsidRPr="00F66267">
        <w:rPr>
          <w:sz w:val="20"/>
          <w:szCs w:val="20"/>
        </w:rPr>
        <w:t>.</w:t>
      </w:r>
    </w:p>
    <w:p w14:paraId="102677D9" w14:textId="77777777" w:rsidR="00724BB0" w:rsidRDefault="00724BB0" w:rsidP="00F16E02">
      <w:pPr>
        <w:rPr>
          <w:sz w:val="20"/>
          <w:szCs w:val="20"/>
        </w:rPr>
      </w:pPr>
    </w:p>
    <w:p w14:paraId="138DA1AC" w14:textId="58169D3E" w:rsidR="008831BC" w:rsidRPr="00F66267" w:rsidRDefault="008831BC" w:rsidP="00F16E02">
      <w:pPr>
        <w:rPr>
          <w:sz w:val="20"/>
          <w:szCs w:val="20"/>
        </w:rPr>
      </w:pPr>
      <w:r w:rsidRPr="00F66267">
        <w:rPr>
          <w:sz w:val="20"/>
          <w:szCs w:val="20"/>
        </w:rPr>
        <w:t>The reformed, 9-1 geography GCSE was first entered by pupils in 2018.</w:t>
      </w:r>
    </w:p>
    <w:p w14:paraId="769B25DE" w14:textId="4EBC539F" w:rsidR="0080038F" w:rsidRPr="00F66267" w:rsidRDefault="0080038F" w:rsidP="00F16E02">
      <w:pPr>
        <w:rPr>
          <w:sz w:val="20"/>
          <w:szCs w:val="20"/>
        </w:rPr>
      </w:pPr>
    </w:p>
    <w:p w14:paraId="29E0DEB8" w14:textId="3CAC9F3F" w:rsidR="0080038F" w:rsidRPr="00F66267" w:rsidRDefault="00811D0E" w:rsidP="00F16E02">
      <w:pPr>
        <w:rPr>
          <w:sz w:val="20"/>
          <w:szCs w:val="20"/>
        </w:rPr>
      </w:pPr>
      <w:r w:rsidRPr="00F66267">
        <w:rPr>
          <w:sz w:val="20"/>
          <w:szCs w:val="20"/>
        </w:rPr>
        <w:t xml:space="preserve">International GCSEs regulated by </w:t>
      </w:r>
      <w:proofErr w:type="spellStart"/>
      <w:r w:rsidRPr="00F66267">
        <w:rPr>
          <w:sz w:val="20"/>
          <w:szCs w:val="20"/>
        </w:rPr>
        <w:t>Ofqual</w:t>
      </w:r>
      <w:proofErr w:type="spellEnd"/>
      <w:r w:rsidRPr="00F66267">
        <w:rPr>
          <w:sz w:val="20"/>
          <w:szCs w:val="20"/>
        </w:rPr>
        <w:t xml:space="preserve"> have also been included</w:t>
      </w:r>
      <w:r w:rsidR="0080038F" w:rsidRPr="00F66267">
        <w:rPr>
          <w:sz w:val="20"/>
          <w:szCs w:val="20"/>
        </w:rPr>
        <w:t xml:space="preserve">. These were eligible for inclusion in </w:t>
      </w:r>
      <w:r w:rsidRPr="00F66267">
        <w:rPr>
          <w:sz w:val="20"/>
          <w:szCs w:val="20"/>
        </w:rPr>
        <w:t>s</w:t>
      </w:r>
      <w:r w:rsidR="0080038F" w:rsidRPr="00F66267">
        <w:rPr>
          <w:sz w:val="20"/>
          <w:szCs w:val="20"/>
        </w:rPr>
        <w:t xml:space="preserve">chool </w:t>
      </w:r>
      <w:r w:rsidRPr="00F66267">
        <w:rPr>
          <w:sz w:val="20"/>
          <w:szCs w:val="20"/>
        </w:rPr>
        <w:t>p</w:t>
      </w:r>
      <w:r w:rsidR="0080038F" w:rsidRPr="00F66267">
        <w:rPr>
          <w:sz w:val="20"/>
          <w:szCs w:val="20"/>
        </w:rPr>
        <w:t xml:space="preserve">erformance </w:t>
      </w:r>
      <w:r w:rsidRPr="00F66267">
        <w:rPr>
          <w:sz w:val="20"/>
          <w:szCs w:val="20"/>
        </w:rPr>
        <w:t>t</w:t>
      </w:r>
      <w:r w:rsidR="0080038F" w:rsidRPr="00F66267">
        <w:rPr>
          <w:sz w:val="20"/>
          <w:szCs w:val="20"/>
        </w:rPr>
        <w:t>ables up until 2017</w:t>
      </w:r>
      <w:r w:rsidRPr="00F66267">
        <w:rPr>
          <w:sz w:val="20"/>
          <w:szCs w:val="20"/>
        </w:rPr>
        <w:t>; after this point state schools had a strong incentive not to take these qualifications</w:t>
      </w:r>
      <w:r w:rsidR="0080038F" w:rsidRPr="00F66267">
        <w:rPr>
          <w:sz w:val="20"/>
          <w:szCs w:val="20"/>
        </w:rPr>
        <w:t xml:space="preserve">. In addition, there are unregulated international GCSEs which have never been eligible for inclusion in </w:t>
      </w:r>
      <w:r w:rsidRPr="00F66267">
        <w:rPr>
          <w:sz w:val="20"/>
          <w:szCs w:val="20"/>
        </w:rPr>
        <w:t>s</w:t>
      </w:r>
      <w:r w:rsidR="0080038F" w:rsidRPr="00F66267">
        <w:rPr>
          <w:sz w:val="20"/>
          <w:szCs w:val="20"/>
        </w:rPr>
        <w:t xml:space="preserve">chool </w:t>
      </w:r>
      <w:r w:rsidRPr="00F66267">
        <w:rPr>
          <w:sz w:val="20"/>
          <w:szCs w:val="20"/>
        </w:rPr>
        <w:t>p</w:t>
      </w:r>
      <w:r w:rsidR="0080038F" w:rsidRPr="00F66267">
        <w:rPr>
          <w:sz w:val="20"/>
          <w:szCs w:val="20"/>
        </w:rPr>
        <w:t xml:space="preserve">erformance </w:t>
      </w:r>
      <w:r w:rsidRPr="00F66267">
        <w:rPr>
          <w:sz w:val="20"/>
          <w:szCs w:val="20"/>
        </w:rPr>
        <w:t>t</w:t>
      </w:r>
      <w:r w:rsidR="0080038F" w:rsidRPr="00F66267">
        <w:rPr>
          <w:sz w:val="20"/>
          <w:szCs w:val="20"/>
        </w:rPr>
        <w:t>ables. These have been, and continue to be, predominantly taken in the independent sector.</w:t>
      </w:r>
    </w:p>
    <w:p w14:paraId="074414B7" w14:textId="12145B70" w:rsidR="00F16E02" w:rsidRPr="00F66267" w:rsidRDefault="00F16E02" w:rsidP="00F16E02">
      <w:pPr>
        <w:rPr>
          <w:sz w:val="20"/>
          <w:szCs w:val="20"/>
        </w:rPr>
      </w:pPr>
    </w:p>
    <w:p w14:paraId="1BD0EF09" w14:textId="47FCF2E6" w:rsidR="008831BC" w:rsidRPr="00F66267" w:rsidRDefault="008831BC" w:rsidP="008831BC">
      <w:pPr>
        <w:rPr>
          <w:sz w:val="20"/>
          <w:szCs w:val="20"/>
        </w:rPr>
      </w:pPr>
      <w:r w:rsidRPr="00F66267">
        <w:rPr>
          <w:sz w:val="20"/>
          <w:szCs w:val="20"/>
        </w:rPr>
        <w:t xml:space="preserve">All </w:t>
      </w:r>
      <w:r w:rsidRPr="00724BB0">
        <w:rPr>
          <w:b/>
          <w:i/>
          <w:sz w:val="20"/>
          <w:szCs w:val="20"/>
        </w:rPr>
        <w:t>A-Levels</w:t>
      </w:r>
      <w:r w:rsidRPr="00F66267">
        <w:rPr>
          <w:sz w:val="20"/>
          <w:szCs w:val="20"/>
        </w:rPr>
        <w:t xml:space="preserve"> in England have been reformed in recent years, though this has involved no change to the grade structure.</w:t>
      </w:r>
      <w:r w:rsidR="00724BB0">
        <w:rPr>
          <w:sz w:val="20"/>
          <w:szCs w:val="20"/>
        </w:rPr>
        <w:t xml:space="preserve"> </w:t>
      </w:r>
      <w:r w:rsidRPr="00F66267">
        <w:rPr>
          <w:sz w:val="20"/>
          <w:szCs w:val="20"/>
        </w:rPr>
        <w:t>The reformed geography A-Level was first entered by pupils in 2018.</w:t>
      </w:r>
    </w:p>
    <w:p w14:paraId="47133CF2" w14:textId="77777777" w:rsidR="008831BC" w:rsidRPr="00F66267" w:rsidRDefault="008831BC" w:rsidP="008831BC">
      <w:pPr>
        <w:rPr>
          <w:sz w:val="20"/>
          <w:szCs w:val="20"/>
        </w:rPr>
      </w:pPr>
    </w:p>
    <w:p w14:paraId="7E1D5352" w14:textId="68B8FD0E" w:rsidR="00ED1EF1" w:rsidRPr="00F66267" w:rsidRDefault="007C3F9F" w:rsidP="00532300">
      <w:pPr>
        <w:pStyle w:val="Heading3"/>
        <w:rPr>
          <w:rFonts w:ascii="Calibri" w:hAnsi="Calibri" w:cs="Calibri"/>
          <w:sz w:val="20"/>
          <w:szCs w:val="20"/>
        </w:rPr>
      </w:pPr>
      <w:r w:rsidRPr="00F66267">
        <w:rPr>
          <w:rFonts w:ascii="Calibri" w:hAnsi="Calibri" w:cs="Calibri"/>
          <w:sz w:val="20"/>
          <w:szCs w:val="20"/>
        </w:rPr>
        <w:t>Average point scores</w:t>
      </w:r>
    </w:p>
    <w:p w14:paraId="4A20671E" w14:textId="05EAD597" w:rsidR="00532300" w:rsidRPr="00F66267" w:rsidRDefault="00532300" w:rsidP="00532300">
      <w:pPr>
        <w:pStyle w:val="Heading4"/>
        <w:rPr>
          <w:rFonts w:ascii="Calibri" w:hAnsi="Calibri" w:cs="Calibri"/>
          <w:sz w:val="20"/>
          <w:szCs w:val="20"/>
        </w:rPr>
      </w:pPr>
      <w:r w:rsidRPr="00F66267">
        <w:rPr>
          <w:rFonts w:ascii="Calibri" w:hAnsi="Calibri" w:cs="Calibri"/>
          <w:sz w:val="20"/>
          <w:szCs w:val="20"/>
        </w:rPr>
        <w:t>GCSE</w:t>
      </w:r>
    </w:p>
    <w:p w14:paraId="1D10AEE4" w14:textId="561B6374" w:rsidR="00532300" w:rsidRPr="00F66267" w:rsidRDefault="00532300" w:rsidP="00AB40F4">
      <w:pPr>
        <w:rPr>
          <w:sz w:val="20"/>
          <w:szCs w:val="20"/>
        </w:rPr>
      </w:pPr>
      <w:r w:rsidRPr="00F66267">
        <w:rPr>
          <w:sz w:val="20"/>
          <w:szCs w:val="20"/>
        </w:rPr>
        <w:t>The points awarded for each GCSE grade differed over the period under consideration. To allow comparison, all average point scores have been put in terms of points awarded from 2017 onwards, ranging from 8.5 for an A* grade through to 1 for a G grade.</w:t>
      </w:r>
    </w:p>
    <w:p w14:paraId="3C1CE9C8" w14:textId="24B87D93" w:rsidR="007C3F9F" w:rsidRPr="00F66267" w:rsidRDefault="007C3F9F" w:rsidP="00AB40F4">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C3F9F" w:rsidRPr="00F66267" w14:paraId="48F7B1CE" w14:textId="77777777" w:rsidTr="00DC1DED">
        <w:tc>
          <w:tcPr>
            <w:tcW w:w="4508" w:type="dxa"/>
            <w:tcBorders>
              <w:bottom w:val="single" w:sz="4" w:space="0" w:color="auto"/>
              <w:right w:val="single" w:sz="4" w:space="0" w:color="auto"/>
            </w:tcBorders>
          </w:tcPr>
          <w:p w14:paraId="16FD57C7" w14:textId="77777777" w:rsidR="007C3F9F" w:rsidRPr="00F66267" w:rsidRDefault="007C3F9F" w:rsidP="00DC1DED">
            <w:pPr>
              <w:jc w:val="center"/>
              <w:rPr>
                <w:b/>
                <w:sz w:val="20"/>
                <w:szCs w:val="20"/>
              </w:rPr>
            </w:pPr>
            <w:r w:rsidRPr="00F66267">
              <w:rPr>
                <w:b/>
                <w:sz w:val="20"/>
                <w:szCs w:val="20"/>
              </w:rPr>
              <w:t>Grade</w:t>
            </w:r>
          </w:p>
        </w:tc>
        <w:tc>
          <w:tcPr>
            <w:tcW w:w="4508" w:type="dxa"/>
            <w:tcBorders>
              <w:left w:val="single" w:sz="4" w:space="0" w:color="auto"/>
              <w:bottom w:val="single" w:sz="4" w:space="0" w:color="auto"/>
            </w:tcBorders>
          </w:tcPr>
          <w:p w14:paraId="101D23EB" w14:textId="77777777" w:rsidR="007C3F9F" w:rsidRPr="00F66267" w:rsidRDefault="007C3F9F" w:rsidP="00DC1DED">
            <w:pPr>
              <w:jc w:val="center"/>
              <w:rPr>
                <w:b/>
                <w:sz w:val="20"/>
                <w:szCs w:val="20"/>
              </w:rPr>
            </w:pPr>
            <w:r w:rsidRPr="00F66267">
              <w:rPr>
                <w:b/>
                <w:sz w:val="20"/>
                <w:szCs w:val="20"/>
              </w:rPr>
              <w:t>Points</w:t>
            </w:r>
          </w:p>
        </w:tc>
      </w:tr>
      <w:tr w:rsidR="007C3F9F" w:rsidRPr="00F66267" w14:paraId="09CEA808" w14:textId="77777777" w:rsidTr="00DC1DED">
        <w:tc>
          <w:tcPr>
            <w:tcW w:w="4508" w:type="dxa"/>
            <w:tcBorders>
              <w:top w:val="single" w:sz="4" w:space="0" w:color="auto"/>
              <w:right w:val="single" w:sz="4" w:space="0" w:color="auto"/>
            </w:tcBorders>
          </w:tcPr>
          <w:p w14:paraId="616D17F5" w14:textId="77777777" w:rsidR="007C3F9F" w:rsidRPr="00F66267" w:rsidRDefault="007C3F9F" w:rsidP="00DC1DED">
            <w:pPr>
              <w:jc w:val="center"/>
              <w:rPr>
                <w:sz w:val="20"/>
                <w:szCs w:val="20"/>
              </w:rPr>
            </w:pPr>
            <w:r w:rsidRPr="00F66267">
              <w:rPr>
                <w:sz w:val="20"/>
                <w:szCs w:val="20"/>
              </w:rPr>
              <w:t>A*</w:t>
            </w:r>
          </w:p>
        </w:tc>
        <w:tc>
          <w:tcPr>
            <w:tcW w:w="4508" w:type="dxa"/>
            <w:tcBorders>
              <w:top w:val="single" w:sz="4" w:space="0" w:color="auto"/>
              <w:left w:val="single" w:sz="4" w:space="0" w:color="auto"/>
            </w:tcBorders>
          </w:tcPr>
          <w:p w14:paraId="313CEFF7" w14:textId="551CE022" w:rsidR="007C3F9F" w:rsidRPr="00F66267" w:rsidRDefault="007C3F9F" w:rsidP="00DC1DED">
            <w:pPr>
              <w:jc w:val="center"/>
              <w:rPr>
                <w:sz w:val="20"/>
                <w:szCs w:val="20"/>
              </w:rPr>
            </w:pPr>
            <w:r w:rsidRPr="00F66267">
              <w:rPr>
                <w:sz w:val="20"/>
                <w:szCs w:val="20"/>
              </w:rPr>
              <w:t>8.5</w:t>
            </w:r>
          </w:p>
        </w:tc>
      </w:tr>
      <w:tr w:rsidR="007C3F9F" w:rsidRPr="00F66267" w14:paraId="69830756" w14:textId="77777777" w:rsidTr="00DC1DED">
        <w:tc>
          <w:tcPr>
            <w:tcW w:w="4508" w:type="dxa"/>
            <w:tcBorders>
              <w:right w:val="single" w:sz="4" w:space="0" w:color="auto"/>
            </w:tcBorders>
          </w:tcPr>
          <w:p w14:paraId="5810F174" w14:textId="77777777" w:rsidR="007C3F9F" w:rsidRPr="00F66267" w:rsidRDefault="007C3F9F" w:rsidP="00DC1DED">
            <w:pPr>
              <w:jc w:val="center"/>
              <w:rPr>
                <w:sz w:val="20"/>
                <w:szCs w:val="20"/>
              </w:rPr>
            </w:pPr>
            <w:r w:rsidRPr="00F66267">
              <w:rPr>
                <w:sz w:val="20"/>
                <w:szCs w:val="20"/>
              </w:rPr>
              <w:t>A</w:t>
            </w:r>
          </w:p>
        </w:tc>
        <w:tc>
          <w:tcPr>
            <w:tcW w:w="4508" w:type="dxa"/>
            <w:tcBorders>
              <w:left w:val="single" w:sz="4" w:space="0" w:color="auto"/>
            </w:tcBorders>
          </w:tcPr>
          <w:p w14:paraId="1D0BD1F9" w14:textId="13A2ED13" w:rsidR="007C3F9F" w:rsidRPr="00F66267" w:rsidRDefault="007C3F9F" w:rsidP="00DC1DED">
            <w:pPr>
              <w:jc w:val="center"/>
              <w:rPr>
                <w:sz w:val="20"/>
                <w:szCs w:val="20"/>
              </w:rPr>
            </w:pPr>
            <w:r w:rsidRPr="00F66267">
              <w:rPr>
                <w:sz w:val="20"/>
                <w:szCs w:val="20"/>
              </w:rPr>
              <w:t>7</w:t>
            </w:r>
          </w:p>
        </w:tc>
      </w:tr>
      <w:tr w:rsidR="007C3F9F" w:rsidRPr="00F66267" w14:paraId="551554E5" w14:textId="77777777" w:rsidTr="00DC1DED">
        <w:tc>
          <w:tcPr>
            <w:tcW w:w="4508" w:type="dxa"/>
            <w:tcBorders>
              <w:right w:val="single" w:sz="4" w:space="0" w:color="auto"/>
            </w:tcBorders>
          </w:tcPr>
          <w:p w14:paraId="62BD4BD3" w14:textId="77777777" w:rsidR="007C3F9F" w:rsidRPr="00F66267" w:rsidRDefault="007C3F9F" w:rsidP="00DC1DED">
            <w:pPr>
              <w:jc w:val="center"/>
              <w:rPr>
                <w:sz w:val="20"/>
                <w:szCs w:val="20"/>
              </w:rPr>
            </w:pPr>
            <w:r w:rsidRPr="00F66267">
              <w:rPr>
                <w:sz w:val="20"/>
                <w:szCs w:val="20"/>
              </w:rPr>
              <w:t>B</w:t>
            </w:r>
          </w:p>
        </w:tc>
        <w:tc>
          <w:tcPr>
            <w:tcW w:w="4508" w:type="dxa"/>
            <w:tcBorders>
              <w:left w:val="single" w:sz="4" w:space="0" w:color="auto"/>
            </w:tcBorders>
          </w:tcPr>
          <w:p w14:paraId="1312D8D6" w14:textId="14687830" w:rsidR="007C3F9F" w:rsidRPr="00F66267" w:rsidRDefault="007C3F9F" w:rsidP="00DC1DED">
            <w:pPr>
              <w:jc w:val="center"/>
              <w:rPr>
                <w:sz w:val="20"/>
                <w:szCs w:val="20"/>
              </w:rPr>
            </w:pPr>
            <w:r w:rsidRPr="00F66267">
              <w:rPr>
                <w:sz w:val="20"/>
                <w:szCs w:val="20"/>
              </w:rPr>
              <w:t>5.5</w:t>
            </w:r>
          </w:p>
        </w:tc>
      </w:tr>
      <w:tr w:rsidR="007C3F9F" w:rsidRPr="00F66267" w14:paraId="3EC62DC5" w14:textId="77777777" w:rsidTr="00DC1DED">
        <w:tc>
          <w:tcPr>
            <w:tcW w:w="4508" w:type="dxa"/>
            <w:tcBorders>
              <w:right w:val="single" w:sz="4" w:space="0" w:color="auto"/>
            </w:tcBorders>
          </w:tcPr>
          <w:p w14:paraId="2E66B626" w14:textId="77777777" w:rsidR="007C3F9F" w:rsidRPr="00F66267" w:rsidRDefault="007C3F9F" w:rsidP="00DC1DED">
            <w:pPr>
              <w:jc w:val="center"/>
              <w:rPr>
                <w:sz w:val="20"/>
                <w:szCs w:val="20"/>
              </w:rPr>
            </w:pPr>
            <w:r w:rsidRPr="00F66267">
              <w:rPr>
                <w:sz w:val="20"/>
                <w:szCs w:val="20"/>
              </w:rPr>
              <w:t>C</w:t>
            </w:r>
          </w:p>
        </w:tc>
        <w:tc>
          <w:tcPr>
            <w:tcW w:w="4508" w:type="dxa"/>
            <w:tcBorders>
              <w:left w:val="single" w:sz="4" w:space="0" w:color="auto"/>
            </w:tcBorders>
          </w:tcPr>
          <w:p w14:paraId="3566AB4B" w14:textId="01919506" w:rsidR="007C3F9F" w:rsidRPr="00F66267" w:rsidRDefault="007C3F9F" w:rsidP="00DC1DED">
            <w:pPr>
              <w:jc w:val="center"/>
              <w:rPr>
                <w:sz w:val="20"/>
                <w:szCs w:val="20"/>
              </w:rPr>
            </w:pPr>
            <w:r w:rsidRPr="00F66267">
              <w:rPr>
                <w:sz w:val="20"/>
                <w:szCs w:val="20"/>
              </w:rPr>
              <w:t>4</w:t>
            </w:r>
          </w:p>
        </w:tc>
      </w:tr>
      <w:tr w:rsidR="007C3F9F" w:rsidRPr="00F66267" w14:paraId="1858B387" w14:textId="77777777" w:rsidTr="00DC1DED">
        <w:tc>
          <w:tcPr>
            <w:tcW w:w="4508" w:type="dxa"/>
            <w:tcBorders>
              <w:right w:val="single" w:sz="4" w:space="0" w:color="auto"/>
            </w:tcBorders>
          </w:tcPr>
          <w:p w14:paraId="53D6AA05" w14:textId="77777777" w:rsidR="007C3F9F" w:rsidRPr="00F66267" w:rsidRDefault="007C3F9F" w:rsidP="00DC1DED">
            <w:pPr>
              <w:jc w:val="center"/>
              <w:rPr>
                <w:sz w:val="20"/>
                <w:szCs w:val="20"/>
              </w:rPr>
            </w:pPr>
            <w:r w:rsidRPr="00F66267">
              <w:rPr>
                <w:sz w:val="20"/>
                <w:szCs w:val="20"/>
              </w:rPr>
              <w:t>D</w:t>
            </w:r>
          </w:p>
        </w:tc>
        <w:tc>
          <w:tcPr>
            <w:tcW w:w="4508" w:type="dxa"/>
            <w:tcBorders>
              <w:left w:val="single" w:sz="4" w:space="0" w:color="auto"/>
            </w:tcBorders>
          </w:tcPr>
          <w:p w14:paraId="6D455848" w14:textId="576F9769" w:rsidR="007C3F9F" w:rsidRPr="00F66267" w:rsidRDefault="007C3F9F" w:rsidP="00DC1DED">
            <w:pPr>
              <w:jc w:val="center"/>
              <w:rPr>
                <w:sz w:val="20"/>
                <w:szCs w:val="20"/>
              </w:rPr>
            </w:pPr>
            <w:r w:rsidRPr="00F66267">
              <w:rPr>
                <w:sz w:val="20"/>
                <w:szCs w:val="20"/>
              </w:rPr>
              <w:t>3</w:t>
            </w:r>
          </w:p>
        </w:tc>
      </w:tr>
      <w:tr w:rsidR="007C3F9F" w:rsidRPr="00F66267" w14:paraId="0AD54925" w14:textId="77777777" w:rsidTr="00DC1DED">
        <w:tc>
          <w:tcPr>
            <w:tcW w:w="4508" w:type="dxa"/>
            <w:tcBorders>
              <w:right w:val="single" w:sz="4" w:space="0" w:color="auto"/>
            </w:tcBorders>
          </w:tcPr>
          <w:p w14:paraId="1DEBEEC7" w14:textId="77777777" w:rsidR="007C3F9F" w:rsidRPr="00F66267" w:rsidRDefault="007C3F9F" w:rsidP="00DC1DED">
            <w:pPr>
              <w:jc w:val="center"/>
              <w:rPr>
                <w:sz w:val="20"/>
                <w:szCs w:val="20"/>
              </w:rPr>
            </w:pPr>
            <w:r w:rsidRPr="00F66267">
              <w:rPr>
                <w:sz w:val="20"/>
                <w:szCs w:val="20"/>
              </w:rPr>
              <w:t>E</w:t>
            </w:r>
          </w:p>
        </w:tc>
        <w:tc>
          <w:tcPr>
            <w:tcW w:w="4508" w:type="dxa"/>
            <w:tcBorders>
              <w:left w:val="single" w:sz="4" w:space="0" w:color="auto"/>
            </w:tcBorders>
          </w:tcPr>
          <w:p w14:paraId="7F340CA0" w14:textId="3ED8DE49" w:rsidR="007C3F9F" w:rsidRPr="00F66267" w:rsidRDefault="007C3F9F" w:rsidP="00DC1DED">
            <w:pPr>
              <w:jc w:val="center"/>
              <w:rPr>
                <w:sz w:val="20"/>
                <w:szCs w:val="20"/>
              </w:rPr>
            </w:pPr>
            <w:r w:rsidRPr="00F66267">
              <w:rPr>
                <w:sz w:val="20"/>
                <w:szCs w:val="20"/>
              </w:rPr>
              <w:t>2</w:t>
            </w:r>
          </w:p>
        </w:tc>
      </w:tr>
      <w:tr w:rsidR="007C3F9F" w:rsidRPr="00F66267" w14:paraId="5A3E33BE" w14:textId="77777777" w:rsidTr="00DC1DED">
        <w:tc>
          <w:tcPr>
            <w:tcW w:w="4508" w:type="dxa"/>
            <w:tcBorders>
              <w:right w:val="single" w:sz="4" w:space="0" w:color="auto"/>
            </w:tcBorders>
          </w:tcPr>
          <w:p w14:paraId="397A5455" w14:textId="3B825952" w:rsidR="007C3F9F" w:rsidRPr="00F66267" w:rsidRDefault="007C3F9F" w:rsidP="00DC1DED">
            <w:pPr>
              <w:jc w:val="center"/>
              <w:rPr>
                <w:sz w:val="20"/>
                <w:szCs w:val="20"/>
              </w:rPr>
            </w:pPr>
            <w:r w:rsidRPr="00F66267">
              <w:rPr>
                <w:sz w:val="20"/>
                <w:szCs w:val="20"/>
              </w:rPr>
              <w:t>F</w:t>
            </w:r>
          </w:p>
        </w:tc>
        <w:tc>
          <w:tcPr>
            <w:tcW w:w="4508" w:type="dxa"/>
            <w:tcBorders>
              <w:left w:val="single" w:sz="4" w:space="0" w:color="auto"/>
            </w:tcBorders>
          </w:tcPr>
          <w:p w14:paraId="250209C9" w14:textId="4C7FD2F1" w:rsidR="007C3F9F" w:rsidRPr="00F66267" w:rsidRDefault="007C3F9F" w:rsidP="00DC1DED">
            <w:pPr>
              <w:jc w:val="center"/>
              <w:rPr>
                <w:sz w:val="20"/>
                <w:szCs w:val="20"/>
              </w:rPr>
            </w:pPr>
            <w:r w:rsidRPr="00F66267">
              <w:rPr>
                <w:sz w:val="20"/>
                <w:szCs w:val="20"/>
              </w:rPr>
              <w:t>1.5</w:t>
            </w:r>
          </w:p>
        </w:tc>
      </w:tr>
      <w:tr w:rsidR="007C3F9F" w:rsidRPr="00F66267" w14:paraId="0E2A440A" w14:textId="77777777" w:rsidTr="00DC1DED">
        <w:tc>
          <w:tcPr>
            <w:tcW w:w="4508" w:type="dxa"/>
            <w:tcBorders>
              <w:right w:val="single" w:sz="4" w:space="0" w:color="auto"/>
            </w:tcBorders>
          </w:tcPr>
          <w:p w14:paraId="5806612D" w14:textId="6871FE3A" w:rsidR="007C3F9F" w:rsidRPr="00F66267" w:rsidRDefault="007C3F9F" w:rsidP="00DC1DED">
            <w:pPr>
              <w:jc w:val="center"/>
              <w:rPr>
                <w:sz w:val="20"/>
                <w:szCs w:val="20"/>
              </w:rPr>
            </w:pPr>
            <w:r w:rsidRPr="00F66267">
              <w:rPr>
                <w:sz w:val="20"/>
                <w:szCs w:val="20"/>
              </w:rPr>
              <w:lastRenderedPageBreak/>
              <w:t>G</w:t>
            </w:r>
          </w:p>
        </w:tc>
        <w:tc>
          <w:tcPr>
            <w:tcW w:w="4508" w:type="dxa"/>
            <w:tcBorders>
              <w:left w:val="single" w:sz="4" w:space="0" w:color="auto"/>
            </w:tcBorders>
          </w:tcPr>
          <w:p w14:paraId="07CAE7C6" w14:textId="262E0682" w:rsidR="007C3F9F" w:rsidRPr="00F66267" w:rsidRDefault="007C3F9F" w:rsidP="00DC1DED">
            <w:pPr>
              <w:jc w:val="center"/>
              <w:rPr>
                <w:sz w:val="20"/>
                <w:szCs w:val="20"/>
              </w:rPr>
            </w:pPr>
            <w:r w:rsidRPr="00F66267">
              <w:rPr>
                <w:sz w:val="20"/>
                <w:szCs w:val="20"/>
              </w:rPr>
              <w:t>1</w:t>
            </w:r>
          </w:p>
        </w:tc>
      </w:tr>
      <w:tr w:rsidR="007C3F9F" w:rsidRPr="00F66267" w14:paraId="78D4D171" w14:textId="77777777" w:rsidTr="00DC1DED">
        <w:tc>
          <w:tcPr>
            <w:tcW w:w="4508" w:type="dxa"/>
            <w:tcBorders>
              <w:right w:val="single" w:sz="4" w:space="0" w:color="auto"/>
            </w:tcBorders>
          </w:tcPr>
          <w:p w14:paraId="3363BD06" w14:textId="77777777" w:rsidR="007C3F9F" w:rsidRPr="00F66267" w:rsidRDefault="007C3F9F" w:rsidP="00DC1DED">
            <w:pPr>
              <w:jc w:val="center"/>
              <w:rPr>
                <w:sz w:val="20"/>
                <w:szCs w:val="20"/>
              </w:rPr>
            </w:pPr>
            <w:r w:rsidRPr="00F66267">
              <w:rPr>
                <w:sz w:val="20"/>
                <w:szCs w:val="20"/>
              </w:rPr>
              <w:t>U</w:t>
            </w:r>
          </w:p>
        </w:tc>
        <w:tc>
          <w:tcPr>
            <w:tcW w:w="4508" w:type="dxa"/>
            <w:tcBorders>
              <w:left w:val="single" w:sz="4" w:space="0" w:color="auto"/>
            </w:tcBorders>
          </w:tcPr>
          <w:p w14:paraId="14576BF2" w14:textId="77777777" w:rsidR="007C3F9F" w:rsidRPr="00F66267" w:rsidRDefault="007C3F9F" w:rsidP="00DC1DED">
            <w:pPr>
              <w:jc w:val="center"/>
              <w:rPr>
                <w:sz w:val="20"/>
                <w:szCs w:val="20"/>
              </w:rPr>
            </w:pPr>
            <w:r w:rsidRPr="00F66267">
              <w:rPr>
                <w:sz w:val="20"/>
                <w:szCs w:val="20"/>
              </w:rPr>
              <w:t>0</w:t>
            </w:r>
          </w:p>
        </w:tc>
      </w:tr>
    </w:tbl>
    <w:p w14:paraId="298AA8DE" w14:textId="5E008E19" w:rsidR="00532300" w:rsidRPr="00F66267" w:rsidRDefault="00532300" w:rsidP="00AB40F4">
      <w:pPr>
        <w:rPr>
          <w:sz w:val="20"/>
          <w:szCs w:val="20"/>
        </w:rPr>
      </w:pPr>
    </w:p>
    <w:p w14:paraId="56584121" w14:textId="72AC9C01" w:rsidR="00532300" w:rsidRPr="00F66267" w:rsidRDefault="00532300" w:rsidP="00532300">
      <w:pPr>
        <w:pStyle w:val="Heading4"/>
        <w:rPr>
          <w:rFonts w:ascii="Calibri" w:hAnsi="Calibri" w:cs="Calibri"/>
          <w:sz w:val="20"/>
          <w:szCs w:val="20"/>
        </w:rPr>
      </w:pPr>
      <w:r w:rsidRPr="00F66267">
        <w:rPr>
          <w:rFonts w:ascii="Calibri" w:hAnsi="Calibri" w:cs="Calibri"/>
          <w:sz w:val="20"/>
          <w:szCs w:val="20"/>
        </w:rPr>
        <w:t>A-Level</w:t>
      </w:r>
    </w:p>
    <w:p w14:paraId="259FDF71" w14:textId="33F44449" w:rsidR="007C3F9F" w:rsidRPr="00F66267" w:rsidRDefault="007C3F9F" w:rsidP="007C3F9F">
      <w:pPr>
        <w:rPr>
          <w:sz w:val="20"/>
          <w:szCs w:val="20"/>
        </w:rPr>
      </w:pPr>
      <w:r w:rsidRPr="00F66267">
        <w:rPr>
          <w:sz w:val="20"/>
          <w:szCs w:val="20"/>
        </w:rPr>
        <w:t>The points awarded for each A-Level grade also differed over the period under consideration. To allow comparison, all average point scores have been put in terms of points awarded from 2016 onwards, ranging from 60 for an A* grade through to 10 for an E grade.</w:t>
      </w:r>
    </w:p>
    <w:p w14:paraId="65F45C50" w14:textId="314995EF" w:rsidR="007C3F9F" w:rsidRPr="00F66267" w:rsidRDefault="007C3F9F" w:rsidP="007C3F9F">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C3F9F" w:rsidRPr="00F66267" w14:paraId="538A71D3" w14:textId="77777777" w:rsidTr="007C3F9F">
        <w:tc>
          <w:tcPr>
            <w:tcW w:w="4508" w:type="dxa"/>
            <w:tcBorders>
              <w:bottom w:val="single" w:sz="4" w:space="0" w:color="auto"/>
              <w:right w:val="single" w:sz="4" w:space="0" w:color="auto"/>
            </w:tcBorders>
          </w:tcPr>
          <w:p w14:paraId="560B0C67" w14:textId="0B5A2F23" w:rsidR="007C3F9F" w:rsidRPr="00F66267" w:rsidRDefault="007C3F9F" w:rsidP="007C3F9F">
            <w:pPr>
              <w:jc w:val="center"/>
              <w:rPr>
                <w:b/>
                <w:sz w:val="20"/>
                <w:szCs w:val="20"/>
              </w:rPr>
            </w:pPr>
            <w:r w:rsidRPr="00F66267">
              <w:rPr>
                <w:b/>
                <w:sz w:val="20"/>
                <w:szCs w:val="20"/>
              </w:rPr>
              <w:t>Grade</w:t>
            </w:r>
          </w:p>
        </w:tc>
        <w:tc>
          <w:tcPr>
            <w:tcW w:w="4508" w:type="dxa"/>
            <w:tcBorders>
              <w:left w:val="single" w:sz="4" w:space="0" w:color="auto"/>
              <w:bottom w:val="single" w:sz="4" w:space="0" w:color="auto"/>
            </w:tcBorders>
          </w:tcPr>
          <w:p w14:paraId="00E7B153" w14:textId="0AEC00F2" w:rsidR="007C3F9F" w:rsidRPr="00F66267" w:rsidRDefault="007C3F9F" w:rsidP="007C3F9F">
            <w:pPr>
              <w:jc w:val="center"/>
              <w:rPr>
                <w:b/>
                <w:sz w:val="20"/>
                <w:szCs w:val="20"/>
              </w:rPr>
            </w:pPr>
            <w:r w:rsidRPr="00F66267">
              <w:rPr>
                <w:b/>
                <w:sz w:val="20"/>
                <w:szCs w:val="20"/>
              </w:rPr>
              <w:t>Points</w:t>
            </w:r>
          </w:p>
        </w:tc>
      </w:tr>
      <w:tr w:rsidR="007C3F9F" w:rsidRPr="00F66267" w14:paraId="370F0634" w14:textId="77777777" w:rsidTr="007C3F9F">
        <w:tc>
          <w:tcPr>
            <w:tcW w:w="4508" w:type="dxa"/>
            <w:tcBorders>
              <w:top w:val="single" w:sz="4" w:space="0" w:color="auto"/>
              <w:right w:val="single" w:sz="4" w:space="0" w:color="auto"/>
            </w:tcBorders>
          </w:tcPr>
          <w:p w14:paraId="013DA019" w14:textId="6F21FA3F" w:rsidR="007C3F9F" w:rsidRPr="00F66267" w:rsidRDefault="007C3F9F" w:rsidP="007C3F9F">
            <w:pPr>
              <w:jc w:val="center"/>
              <w:rPr>
                <w:sz w:val="20"/>
                <w:szCs w:val="20"/>
              </w:rPr>
            </w:pPr>
            <w:r w:rsidRPr="00F66267">
              <w:rPr>
                <w:sz w:val="20"/>
                <w:szCs w:val="20"/>
              </w:rPr>
              <w:t>A*</w:t>
            </w:r>
          </w:p>
        </w:tc>
        <w:tc>
          <w:tcPr>
            <w:tcW w:w="4508" w:type="dxa"/>
            <w:tcBorders>
              <w:top w:val="single" w:sz="4" w:space="0" w:color="auto"/>
              <w:left w:val="single" w:sz="4" w:space="0" w:color="auto"/>
            </w:tcBorders>
          </w:tcPr>
          <w:p w14:paraId="34338200" w14:textId="01B05FC7" w:rsidR="007C3F9F" w:rsidRPr="00F66267" w:rsidRDefault="007C3F9F" w:rsidP="007C3F9F">
            <w:pPr>
              <w:jc w:val="center"/>
              <w:rPr>
                <w:sz w:val="20"/>
                <w:szCs w:val="20"/>
              </w:rPr>
            </w:pPr>
            <w:r w:rsidRPr="00F66267">
              <w:rPr>
                <w:sz w:val="20"/>
                <w:szCs w:val="20"/>
              </w:rPr>
              <w:t>60</w:t>
            </w:r>
          </w:p>
        </w:tc>
      </w:tr>
      <w:tr w:rsidR="007C3F9F" w:rsidRPr="00F66267" w14:paraId="6623A02D" w14:textId="77777777" w:rsidTr="007C3F9F">
        <w:tc>
          <w:tcPr>
            <w:tcW w:w="4508" w:type="dxa"/>
            <w:tcBorders>
              <w:right w:val="single" w:sz="4" w:space="0" w:color="auto"/>
            </w:tcBorders>
          </w:tcPr>
          <w:p w14:paraId="566DD3D1" w14:textId="05781105" w:rsidR="007C3F9F" w:rsidRPr="00F66267" w:rsidRDefault="007C3F9F" w:rsidP="007C3F9F">
            <w:pPr>
              <w:jc w:val="center"/>
              <w:rPr>
                <w:sz w:val="20"/>
                <w:szCs w:val="20"/>
              </w:rPr>
            </w:pPr>
            <w:r w:rsidRPr="00F66267">
              <w:rPr>
                <w:sz w:val="20"/>
                <w:szCs w:val="20"/>
              </w:rPr>
              <w:t>A</w:t>
            </w:r>
          </w:p>
        </w:tc>
        <w:tc>
          <w:tcPr>
            <w:tcW w:w="4508" w:type="dxa"/>
            <w:tcBorders>
              <w:left w:val="single" w:sz="4" w:space="0" w:color="auto"/>
            </w:tcBorders>
          </w:tcPr>
          <w:p w14:paraId="4E63CFB1" w14:textId="2760F65D" w:rsidR="007C3F9F" w:rsidRPr="00F66267" w:rsidRDefault="007C3F9F" w:rsidP="007C3F9F">
            <w:pPr>
              <w:jc w:val="center"/>
              <w:rPr>
                <w:sz w:val="20"/>
                <w:szCs w:val="20"/>
              </w:rPr>
            </w:pPr>
            <w:r w:rsidRPr="00F66267">
              <w:rPr>
                <w:sz w:val="20"/>
                <w:szCs w:val="20"/>
              </w:rPr>
              <w:t>50</w:t>
            </w:r>
          </w:p>
        </w:tc>
      </w:tr>
      <w:tr w:rsidR="007C3F9F" w:rsidRPr="00F66267" w14:paraId="545DBEA9" w14:textId="77777777" w:rsidTr="007C3F9F">
        <w:tc>
          <w:tcPr>
            <w:tcW w:w="4508" w:type="dxa"/>
            <w:tcBorders>
              <w:right w:val="single" w:sz="4" w:space="0" w:color="auto"/>
            </w:tcBorders>
          </w:tcPr>
          <w:p w14:paraId="7FC4C73E" w14:textId="0E7807AB" w:rsidR="007C3F9F" w:rsidRPr="00F66267" w:rsidRDefault="007C3F9F" w:rsidP="007C3F9F">
            <w:pPr>
              <w:jc w:val="center"/>
              <w:rPr>
                <w:sz w:val="20"/>
                <w:szCs w:val="20"/>
              </w:rPr>
            </w:pPr>
            <w:r w:rsidRPr="00F66267">
              <w:rPr>
                <w:sz w:val="20"/>
                <w:szCs w:val="20"/>
              </w:rPr>
              <w:t>B</w:t>
            </w:r>
          </w:p>
        </w:tc>
        <w:tc>
          <w:tcPr>
            <w:tcW w:w="4508" w:type="dxa"/>
            <w:tcBorders>
              <w:left w:val="single" w:sz="4" w:space="0" w:color="auto"/>
            </w:tcBorders>
          </w:tcPr>
          <w:p w14:paraId="3B1CA11E" w14:textId="13920380" w:rsidR="007C3F9F" w:rsidRPr="00F66267" w:rsidRDefault="007C3F9F" w:rsidP="007C3F9F">
            <w:pPr>
              <w:jc w:val="center"/>
              <w:rPr>
                <w:sz w:val="20"/>
                <w:szCs w:val="20"/>
              </w:rPr>
            </w:pPr>
            <w:r w:rsidRPr="00F66267">
              <w:rPr>
                <w:sz w:val="20"/>
                <w:szCs w:val="20"/>
              </w:rPr>
              <w:t>40</w:t>
            </w:r>
          </w:p>
        </w:tc>
      </w:tr>
      <w:tr w:rsidR="007C3F9F" w:rsidRPr="00F66267" w14:paraId="59F491D7" w14:textId="77777777" w:rsidTr="007C3F9F">
        <w:tc>
          <w:tcPr>
            <w:tcW w:w="4508" w:type="dxa"/>
            <w:tcBorders>
              <w:right w:val="single" w:sz="4" w:space="0" w:color="auto"/>
            </w:tcBorders>
          </w:tcPr>
          <w:p w14:paraId="2B682D2A" w14:textId="43943A66" w:rsidR="007C3F9F" w:rsidRPr="00F66267" w:rsidRDefault="007C3F9F" w:rsidP="007C3F9F">
            <w:pPr>
              <w:jc w:val="center"/>
              <w:rPr>
                <w:sz w:val="20"/>
                <w:szCs w:val="20"/>
              </w:rPr>
            </w:pPr>
            <w:r w:rsidRPr="00F66267">
              <w:rPr>
                <w:sz w:val="20"/>
                <w:szCs w:val="20"/>
              </w:rPr>
              <w:t>C</w:t>
            </w:r>
          </w:p>
        </w:tc>
        <w:tc>
          <w:tcPr>
            <w:tcW w:w="4508" w:type="dxa"/>
            <w:tcBorders>
              <w:left w:val="single" w:sz="4" w:space="0" w:color="auto"/>
            </w:tcBorders>
          </w:tcPr>
          <w:p w14:paraId="569980F1" w14:textId="6656F728" w:rsidR="007C3F9F" w:rsidRPr="00F66267" w:rsidRDefault="007C3F9F" w:rsidP="007C3F9F">
            <w:pPr>
              <w:jc w:val="center"/>
              <w:rPr>
                <w:sz w:val="20"/>
                <w:szCs w:val="20"/>
              </w:rPr>
            </w:pPr>
            <w:r w:rsidRPr="00F66267">
              <w:rPr>
                <w:sz w:val="20"/>
                <w:szCs w:val="20"/>
              </w:rPr>
              <w:t>30</w:t>
            </w:r>
          </w:p>
        </w:tc>
      </w:tr>
      <w:tr w:rsidR="007C3F9F" w:rsidRPr="00F66267" w14:paraId="38E04821" w14:textId="77777777" w:rsidTr="007C3F9F">
        <w:tc>
          <w:tcPr>
            <w:tcW w:w="4508" w:type="dxa"/>
            <w:tcBorders>
              <w:right w:val="single" w:sz="4" w:space="0" w:color="auto"/>
            </w:tcBorders>
          </w:tcPr>
          <w:p w14:paraId="168BBB5A" w14:textId="56AB46AC" w:rsidR="007C3F9F" w:rsidRPr="00F66267" w:rsidRDefault="007C3F9F" w:rsidP="007C3F9F">
            <w:pPr>
              <w:jc w:val="center"/>
              <w:rPr>
                <w:sz w:val="20"/>
                <w:szCs w:val="20"/>
              </w:rPr>
            </w:pPr>
            <w:r w:rsidRPr="00F66267">
              <w:rPr>
                <w:sz w:val="20"/>
                <w:szCs w:val="20"/>
              </w:rPr>
              <w:t>D</w:t>
            </w:r>
          </w:p>
        </w:tc>
        <w:tc>
          <w:tcPr>
            <w:tcW w:w="4508" w:type="dxa"/>
            <w:tcBorders>
              <w:left w:val="single" w:sz="4" w:space="0" w:color="auto"/>
            </w:tcBorders>
          </w:tcPr>
          <w:p w14:paraId="099F21CC" w14:textId="10C21F6F" w:rsidR="007C3F9F" w:rsidRPr="00F66267" w:rsidRDefault="007C3F9F" w:rsidP="007C3F9F">
            <w:pPr>
              <w:jc w:val="center"/>
              <w:rPr>
                <w:sz w:val="20"/>
                <w:szCs w:val="20"/>
              </w:rPr>
            </w:pPr>
            <w:r w:rsidRPr="00F66267">
              <w:rPr>
                <w:sz w:val="20"/>
                <w:szCs w:val="20"/>
              </w:rPr>
              <w:t>20</w:t>
            </w:r>
          </w:p>
        </w:tc>
      </w:tr>
      <w:tr w:rsidR="007C3F9F" w:rsidRPr="00F66267" w14:paraId="0444E78A" w14:textId="77777777" w:rsidTr="007C3F9F">
        <w:tc>
          <w:tcPr>
            <w:tcW w:w="4508" w:type="dxa"/>
            <w:tcBorders>
              <w:right w:val="single" w:sz="4" w:space="0" w:color="auto"/>
            </w:tcBorders>
          </w:tcPr>
          <w:p w14:paraId="0F3BFC99" w14:textId="515AAC44" w:rsidR="007C3F9F" w:rsidRPr="00F66267" w:rsidRDefault="007C3F9F" w:rsidP="007C3F9F">
            <w:pPr>
              <w:jc w:val="center"/>
              <w:rPr>
                <w:sz w:val="20"/>
                <w:szCs w:val="20"/>
              </w:rPr>
            </w:pPr>
            <w:r w:rsidRPr="00F66267">
              <w:rPr>
                <w:sz w:val="20"/>
                <w:szCs w:val="20"/>
              </w:rPr>
              <w:t>E</w:t>
            </w:r>
          </w:p>
        </w:tc>
        <w:tc>
          <w:tcPr>
            <w:tcW w:w="4508" w:type="dxa"/>
            <w:tcBorders>
              <w:left w:val="single" w:sz="4" w:space="0" w:color="auto"/>
            </w:tcBorders>
          </w:tcPr>
          <w:p w14:paraId="0B562E8F" w14:textId="10118552" w:rsidR="007C3F9F" w:rsidRPr="00F66267" w:rsidRDefault="007C3F9F" w:rsidP="007C3F9F">
            <w:pPr>
              <w:jc w:val="center"/>
              <w:rPr>
                <w:sz w:val="20"/>
                <w:szCs w:val="20"/>
              </w:rPr>
            </w:pPr>
            <w:r w:rsidRPr="00F66267">
              <w:rPr>
                <w:sz w:val="20"/>
                <w:szCs w:val="20"/>
              </w:rPr>
              <w:t>10</w:t>
            </w:r>
          </w:p>
        </w:tc>
      </w:tr>
      <w:tr w:rsidR="007C3F9F" w:rsidRPr="00F66267" w14:paraId="34DA248C" w14:textId="77777777" w:rsidTr="007C3F9F">
        <w:tc>
          <w:tcPr>
            <w:tcW w:w="4508" w:type="dxa"/>
            <w:tcBorders>
              <w:right w:val="single" w:sz="4" w:space="0" w:color="auto"/>
            </w:tcBorders>
          </w:tcPr>
          <w:p w14:paraId="2835D933" w14:textId="3F6F4D5C" w:rsidR="007C3F9F" w:rsidRPr="00F66267" w:rsidRDefault="007C3F9F" w:rsidP="007C3F9F">
            <w:pPr>
              <w:jc w:val="center"/>
              <w:rPr>
                <w:sz w:val="20"/>
                <w:szCs w:val="20"/>
              </w:rPr>
            </w:pPr>
            <w:r w:rsidRPr="00F66267">
              <w:rPr>
                <w:sz w:val="20"/>
                <w:szCs w:val="20"/>
              </w:rPr>
              <w:t>U</w:t>
            </w:r>
          </w:p>
        </w:tc>
        <w:tc>
          <w:tcPr>
            <w:tcW w:w="4508" w:type="dxa"/>
            <w:tcBorders>
              <w:left w:val="single" w:sz="4" w:space="0" w:color="auto"/>
            </w:tcBorders>
          </w:tcPr>
          <w:p w14:paraId="34DA46C8" w14:textId="5B7EE038" w:rsidR="007C3F9F" w:rsidRPr="00F66267" w:rsidRDefault="007C3F9F" w:rsidP="007C3F9F">
            <w:pPr>
              <w:jc w:val="center"/>
              <w:rPr>
                <w:sz w:val="20"/>
                <w:szCs w:val="20"/>
              </w:rPr>
            </w:pPr>
            <w:r w:rsidRPr="00F66267">
              <w:rPr>
                <w:sz w:val="20"/>
                <w:szCs w:val="20"/>
              </w:rPr>
              <w:t>0</w:t>
            </w:r>
          </w:p>
        </w:tc>
      </w:tr>
    </w:tbl>
    <w:p w14:paraId="24528B6E" w14:textId="39A7E12F" w:rsidR="007C3F9F" w:rsidRPr="00F66267" w:rsidRDefault="007C3F9F" w:rsidP="007C3F9F">
      <w:pPr>
        <w:rPr>
          <w:sz w:val="20"/>
          <w:szCs w:val="20"/>
        </w:rPr>
      </w:pPr>
    </w:p>
    <w:p w14:paraId="7876A1E9" w14:textId="77777777" w:rsidR="00F16E02" w:rsidRPr="00F66267" w:rsidRDefault="00F16E02" w:rsidP="007C3F9F">
      <w:pPr>
        <w:rPr>
          <w:sz w:val="20"/>
          <w:szCs w:val="20"/>
        </w:rPr>
      </w:pPr>
    </w:p>
    <w:p w14:paraId="6CC28675" w14:textId="2CCF9340" w:rsidR="001A6913" w:rsidRDefault="000D2107" w:rsidP="00481529">
      <w:pPr>
        <w:pStyle w:val="Heading2"/>
        <w:contextualSpacing/>
        <w:rPr>
          <w:rFonts w:ascii="Calibri" w:hAnsi="Calibri" w:cs="Calibri"/>
          <w:sz w:val="20"/>
          <w:szCs w:val="20"/>
        </w:rPr>
      </w:pPr>
      <w:r w:rsidRPr="00F66267">
        <w:rPr>
          <w:rFonts w:ascii="Calibri" w:hAnsi="Calibri" w:cs="Calibri"/>
          <w:sz w:val="20"/>
          <w:szCs w:val="20"/>
        </w:rPr>
        <w:t>2</w:t>
      </w:r>
      <w:r w:rsidR="00660875" w:rsidRPr="00F66267">
        <w:rPr>
          <w:rFonts w:ascii="Calibri" w:hAnsi="Calibri" w:cs="Calibri"/>
          <w:sz w:val="20"/>
          <w:szCs w:val="20"/>
        </w:rPr>
        <w:t>.</w:t>
      </w:r>
      <w:r w:rsidR="00F16E02" w:rsidRPr="00F66267">
        <w:rPr>
          <w:rFonts w:ascii="Calibri" w:hAnsi="Calibri" w:cs="Calibri"/>
          <w:sz w:val="20"/>
          <w:szCs w:val="20"/>
        </w:rPr>
        <w:t xml:space="preserve"> Data definitions</w:t>
      </w:r>
    </w:p>
    <w:p w14:paraId="59C1E29F" w14:textId="63EF62B0" w:rsidR="00AA001B" w:rsidRPr="00F66267" w:rsidRDefault="00767AC1" w:rsidP="006B7CDA">
      <w:pPr>
        <w:pStyle w:val="Heading3"/>
        <w:rPr>
          <w:rFonts w:ascii="Calibri" w:hAnsi="Calibri" w:cs="Calibri"/>
          <w:sz w:val="20"/>
          <w:szCs w:val="20"/>
        </w:rPr>
      </w:pPr>
      <w:r w:rsidRPr="00F66267">
        <w:rPr>
          <w:rFonts w:ascii="Calibri" w:hAnsi="Calibri" w:cs="Calibri"/>
          <w:sz w:val="20"/>
          <w:szCs w:val="20"/>
        </w:rPr>
        <w:t>2.1</w:t>
      </w:r>
      <w:r w:rsidR="00AA001B" w:rsidRPr="00F66267">
        <w:rPr>
          <w:rFonts w:ascii="Calibri" w:hAnsi="Calibri" w:cs="Calibri"/>
          <w:sz w:val="20"/>
          <w:szCs w:val="20"/>
        </w:rPr>
        <w:t xml:space="preserve"> Pupil characteristics</w:t>
      </w:r>
    </w:p>
    <w:p w14:paraId="4316B3EE" w14:textId="4DFF2CEF" w:rsidR="006B7CDA" w:rsidRPr="00F66267" w:rsidRDefault="006B7CDA" w:rsidP="006B7CDA">
      <w:pPr>
        <w:pStyle w:val="Heading4"/>
        <w:rPr>
          <w:rFonts w:ascii="Calibri" w:hAnsi="Calibri" w:cs="Calibri"/>
          <w:sz w:val="20"/>
          <w:szCs w:val="20"/>
        </w:rPr>
      </w:pPr>
      <w:r w:rsidRPr="00F66267">
        <w:rPr>
          <w:rFonts w:ascii="Calibri" w:hAnsi="Calibri" w:cs="Calibri"/>
          <w:sz w:val="20"/>
          <w:szCs w:val="20"/>
        </w:rPr>
        <w:t>Gender</w:t>
      </w:r>
      <w:r w:rsidR="00724BB0">
        <w:rPr>
          <w:rFonts w:ascii="Calibri" w:hAnsi="Calibri" w:cs="Calibri"/>
          <w:sz w:val="20"/>
          <w:szCs w:val="20"/>
        </w:rPr>
        <w:t xml:space="preserve"> - </w:t>
      </w:r>
      <w:bookmarkStart w:id="0" w:name="_GoBack"/>
      <w:bookmarkEnd w:id="0"/>
    </w:p>
    <w:p w14:paraId="0135A8C2" w14:textId="16F1AD2B" w:rsidR="006B7CDA" w:rsidRPr="00F66267" w:rsidRDefault="0004487C" w:rsidP="00AA001B">
      <w:pPr>
        <w:rPr>
          <w:sz w:val="20"/>
          <w:szCs w:val="20"/>
        </w:rPr>
      </w:pPr>
      <w:r w:rsidRPr="00F66267">
        <w:rPr>
          <w:sz w:val="20"/>
          <w:szCs w:val="20"/>
        </w:rPr>
        <w:t>As recorded in Department for Education datasets.</w:t>
      </w:r>
    </w:p>
    <w:p w14:paraId="6BCB8718" w14:textId="4EF30066" w:rsidR="006B7CDA" w:rsidRPr="00F66267" w:rsidRDefault="006B7CDA" w:rsidP="00AA001B">
      <w:pPr>
        <w:rPr>
          <w:sz w:val="20"/>
          <w:szCs w:val="20"/>
        </w:rPr>
      </w:pPr>
      <w:r w:rsidRPr="00F66267">
        <w:rPr>
          <w:sz w:val="20"/>
          <w:szCs w:val="20"/>
        </w:rPr>
        <w:t>Source</w:t>
      </w:r>
      <w:r w:rsidR="00E64475" w:rsidRPr="00F66267">
        <w:rPr>
          <w:sz w:val="20"/>
          <w:szCs w:val="20"/>
        </w:rPr>
        <w:t>:</w:t>
      </w:r>
      <w:r w:rsidRPr="00F66267">
        <w:rPr>
          <w:sz w:val="20"/>
          <w:szCs w:val="20"/>
        </w:rPr>
        <w:t xml:space="preserve"> National Pupil Database</w:t>
      </w:r>
    </w:p>
    <w:p w14:paraId="3B2D4298" w14:textId="77777777" w:rsidR="006B7CDA" w:rsidRPr="00F66267" w:rsidRDefault="006B7CDA" w:rsidP="003B78CE">
      <w:pPr>
        <w:rPr>
          <w:rStyle w:val="Heading4Char"/>
          <w:rFonts w:ascii="Calibri" w:hAnsi="Calibri" w:cs="Calibri"/>
          <w:sz w:val="20"/>
          <w:szCs w:val="20"/>
        </w:rPr>
      </w:pPr>
    </w:p>
    <w:p w14:paraId="6646A436" w14:textId="0C56007D" w:rsidR="006B7CDA" w:rsidRPr="00F66267" w:rsidRDefault="00AA001B" w:rsidP="003B78CE">
      <w:pPr>
        <w:rPr>
          <w:rStyle w:val="Heading4Char"/>
          <w:rFonts w:ascii="Calibri" w:hAnsi="Calibri" w:cs="Calibri"/>
          <w:sz w:val="20"/>
          <w:szCs w:val="20"/>
        </w:rPr>
      </w:pPr>
      <w:r w:rsidRPr="00F66267">
        <w:rPr>
          <w:rStyle w:val="Heading4Char"/>
          <w:rFonts w:ascii="Calibri" w:hAnsi="Calibri" w:cs="Calibri"/>
          <w:sz w:val="20"/>
          <w:szCs w:val="20"/>
        </w:rPr>
        <w:t>Disadvantage</w:t>
      </w:r>
    </w:p>
    <w:p w14:paraId="546C9ACE" w14:textId="2DB2E29B" w:rsidR="00EA5DD4" w:rsidRPr="00F66267" w:rsidRDefault="00EA5DD4" w:rsidP="00EA5DD4">
      <w:pPr>
        <w:pStyle w:val="Heading5"/>
        <w:rPr>
          <w:rFonts w:ascii="Calibri" w:hAnsi="Calibri" w:cs="Calibri"/>
          <w:sz w:val="20"/>
          <w:szCs w:val="20"/>
        </w:rPr>
      </w:pPr>
      <w:r w:rsidRPr="00F66267">
        <w:rPr>
          <w:rFonts w:ascii="Calibri" w:hAnsi="Calibri" w:cs="Calibri"/>
          <w:sz w:val="20"/>
          <w:szCs w:val="20"/>
        </w:rPr>
        <w:t>GCSE</w:t>
      </w:r>
    </w:p>
    <w:p w14:paraId="54976C9D" w14:textId="0ECBF1ED" w:rsidR="003B78CE" w:rsidRPr="00F66267" w:rsidRDefault="0004487C" w:rsidP="003B78CE">
      <w:pPr>
        <w:rPr>
          <w:sz w:val="20"/>
          <w:szCs w:val="20"/>
        </w:rPr>
      </w:pPr>
      <w:r w:rsidRPr="00F66267">
        <w:rPr>
          <w:sz w:val="20"/>
          <w:szCs w:val="20"/>
        </w:rPr>
        <w:t>Whether a pupil has been eligible for free school meals at any point in the previous six years.</w:t>
      </w:r>
    </w:p>
    <w:p w14:paraId="45524908" w14:textId="4B3758D6" w:rsidR="006B7CDA" w:rsidRPr="00F66267" w:rsidRDefault="00F16E02" w:rsidP="003B78CE">
      <w:pPr>
        <w:rPr>
          <w:sz w:val="20"/>
          <w:szCs w:val="20"/>
        </w:rPr>
      </w:pPr>
      <w:r w:rsidRPr="00F66267">
        <w:rPr>
          <w:sz w:val="20"/>
          <w:szCs w:val="20"/>
        </w:rPr>
        <w:t xml:space="preserve">Free school meals </w:t>
      </w:r>
      <w:r w:rsidR="006B7CDA" w:rsidRPr="00F66267">
        <w:rPr>
          <w:sz w:val="20"/>
          <w:szCs w:val="20"/>
        </w:rPr>
        <w:t xml:space="preserve">data is only collected for pupils in the state sector – so disadvantage information </w:t>
      </w:r>
      <w:r w:rsidR="00F96466" w:rsidRPr="00F66267">
        <w:rPr>
          <w:sz w:val="20"/>
          <w:szCs w:val="20"/>
        </w:rPr>
        <w:t>is not available for a group of pupils who were in the independent sector for the entirety of Year 6 to Year 11.</w:t>
      </w:r>
    </w:p>
    <w:p w14:paraId="492CE127" w14:textId="2C1CCE43" w:rsidR="006B7CDA" w:rsidRPr="00F66267" w:rsidRDefault="006B7CDA" w:rsidP="006B7CDA">
      <w:pPr>
        <w:rPr>
          <w:sz w:val="20"/>
          <w:szCs w:val="20"/>
        </w:rPr>
      </w:pPr>
      <w:r w:rsidRPr="00F66267">
        <w:rPr>
          <w:sz w:val="20"/>
          <w:szCs w:val="20"/>
        </w:rPr>
        <w:t>Source</w:t>
      </w:r>
      <w:r w:rsidR="00E64475" w:rsidRPr="00F66267">
        <w:rPr>
          <w:sz w:val="20"/>
          <w:szCs w:val="20"/>
        </w:rPr>
        <w:t>:</w:t>
      </w:r>
      <w:r w:rsidRPr="00F66267">
        <w:rPr>
          <w:sz w:val="20"/>
          <w:szCs w:val="20"/>
        </w:rPr>
        <w:t xml:space="preserve"> National Pupil Database</w:t>
      </w:r>
    </w:p>
    <w:p w14:paraId="5C7AD801" w14:textId="77777777" w:rsidR="006B7CDA" w:rsidRPr="00F66267" w:rsidRDefault="006B7CDA" w:rsidP="003B78CE">
      <w:pPr>
        <w:rPr>
          <w:sz w:val="20"/>
          <w:szCs w:val="20"/>
        </w:rPr>
      </w:pPr>
    </w:p>
    <w:p w14:paraId="182961E9" w14:textId="00FEE2EF" w:rsidR="00EA5DD4" w:rsidRPr="00F66267" w:rsidRDefault="00EA5DD4" w:rsidP="00EA5DD4">
      <w:pPr>
        <w:pStyle w:val="Heading5"/>
        <w:rPr>
          <w:rFonts w:ascii="Calibri" w:hAnsi="Calibri" w:cs="Calibri"/>
          <w:sz w:val="20"/>
          <w:szCs w:val="20"/>
        </w:rPr>
      </w:pPr>
      <w:r w:rsidRPr="00F66267">
        <w:rPr>
          <w:rFonts w:ascii="Calibri" w:hAnsi="Calibri" w:cs="Calibri"/>
          <w:sz w:val="20"/>
          <w:szCs w:val="20"/>
        </w:rPr>
        <w:t>A-Level</w:t>
      </w:r>
    </w:p>
    <w:p w14:paraId="4D548AD1" w14:textId="7BB26EDF" w:rsidR="00EA5DD4" w:rsidRPr="00F66267" w:rsidRDefault="00EA5DD4" w:rsidP="00EA5DD4">
      <w:pPr>
        <w:rPr>
          <w:sz w:val="20"/>
          <w:szCs w:val="20"/>
        </w:rPr>
      </w:pPr>
      <w:r w:rsidRPr="00F66267">
        <w:rPr>
          <w:sz w:val="20"/>
          <w:szCs w:val="20"/>
        </w:rPr>
        <w:t>Free school meals do not exist post-16. Disadvantage status is therefore calculated based on students’ final six years in education</w:t>
      </w:r>
      <w:r w:rsidR="00F16E02" w:rsidRPr="00F66267">
        <w:rPr>
          <w:sz w:val="20"/>
          <w:szCs w:val="20"/>
        </w:rPr>
        <w:t xml:space="preserve"> up to age 16</w:t>
      </w:r>
      <w:r w:rsidRPr="00F66267">
        <w:rPr>
          <w:sz w:val="20"/>
          <w:szCs w:val="20"/>
        </w:rPr>
        <w:t xml:space="preserve">. </w:t>
      </w:r>
    </w:p>
    <w:p w14:paraId="60023E6F" w14:textId="574F5701" w:rsidR="00EA5DD4" w:rsidRPr="00F66267" w:rsidRDefault="00F16E02" w:rsidP="00EA5DD4">
      <w:pPr>
        <w:rPr>
          <w:sz w:val="20"/>
          <w:szCs w:val="20"/>
        </w:rPr>
      </w:pPr>
      <w:r w:rsidRPr="00F66267">
        <w:rPr>
          <w:sz w:val="20"/>
          <w:szCs w:val="20"/>
        </w:rPr>
        <w:t>Free school meals</w:t>
      </w:r>
      <w:r w:rsidR="00EA5DD4" w:rsidRPr="00F66267">
        <w:rPr>
          <w:sz w:val="20"/>
          <w:szCs w:val="20"/>
        </w:rPr>
        <w:t xml:space="preserve"> data is only collected for pupils in the state sector – so disadvantage information is not available for a group of pupils who were in the independent sector for the entirety of Year 6 to Year 11.</w:t>
      </w:r>
    </w:p>
    <w:p w14:paraId="243AAE95" w14:textId="77777777" w:rsidR="00EA5DD4" w:rsidRPr="00F66267" w:rsidRDefault="00EA5DD4" w:rsidP="00EA5DD4">
      <w:pPr>
        <w:rPr>
          <w:sz w:val="20"/>
          <w:szCs w:val="20"/>
        </w:rPr>
      </w:pPr>
      <w:r w:rsidRPr="00F66267">
        <w:rPr>
          <w:sz w:val="20"/>
          <w:szCs w:val="20"/>
        </w:rPr>
        <w:t>Source: National Pupil Database</w:t>
      </w:r>
    </w:p>
    <w:p w14:paraId="054CE0DB" w14:textId="7C9610B3" w:rsidR="00EA5DD4" w:rsidRPr="00F66267" w:rsidRDefault="00EA5DD4" w:rsidP="006B7CDA">
      <w:pPr>
        <w:pStyle w:val="Heading4"/>
        <w:rPr>
          <w:rFonts w:ascii="Calibri" w:hAnsi="Calibri" w:cs="Calibri"/>
          <w:sz w:val="20"/>
          <w:szCs w:val="20"/>
        </w:rPr>
      </w:pPr>
    </w:p>
    <w:p w14:paraId="675AAA72" w14:textId="40BBF258" w:rsidR="006B7CDA" w:rsidRPr="00F66267" w:rsidRDefault="006B7CDA" w:rsidP="006B7CDA">
      <w:pPr>
        <w:pStyle w:val="Heading4"/>
        <w:rPr>
          <w:rFonts w:ascii="Calibri" w:hAnsi="Calibri" w:cs="Calibri"/>
          <w:sz w:val="20"/>
          <w:szCs w:val="20"/>
        </w:rPr>
      </w:pPr>
      <w:r w:rsidRPr="00F66267">
        <w:rPr>
          <w:rFonts w:ascii="Calibri" w:hAnsi="Calibri" w:cs="Calibri"/>
          <w:sz w:val="20"/>
          <w:szCs w:val="20"/>
        </w:rPr>
        <w:t>Ethnicity</w:t>
      </w:r>
    </w:p>
    <w:p w14:paraId="6B0DF8C1" w14:textId="4F1E83CE" w:rsidR="00AA001B" w:rsidRPr="00F66267" w:rsidRDefault="006B7CDA" w:rsidP="003B78CE">
      <w:pPr>
        <w:rPr>
          <w:sz w:val="20"/>
          <w:szCs w:val="20"/>
        </w:rPr>
      </w:pPr>
      <w:r w:rsidRPr="00F66267">
        <w:rPr>
          <w:sz w:val="20"/>
          <w:szCs w:val="20"/>
        </w:rPr>
        <w:t>Major ethnicity grouping.</w:t>
      </w:r>
      <w:r w:rsidR="00F16E02" w:rsidRPr="00F66267">
        <w:rPr>
          <w:sz w:val="20"/>
          <w:szCs w:val="20"/>
        </w:rPr>
        <w:t xml:space="preserve"> Ethnicity data is not available for all post-16 establishment types, therefore information on ethnicity has been pulled from students’ final six years in education up to age 16.</w:t>
      </w:r>
    </w:p>
    <w:p w14:paraId="00B17C0D" w14:textId="4345C919" w:rsidR="006B7CDA" w:rsidRPr="00F66267" w:rsidRDefault="00F96466" w:rsidP="006B7CDA">
      <w:pPr>
        <w:rPr>
          <w:sz w:val="20"/>
          <w:szCs w:val="20"/>
        </w:rPr>
      </w:pPr>
      <w:r w:rsidRPr="00F66267">
        <w:rPr>
          <w:sz w:val="20"/>
          <w:szCs w:val="20"/>
        </w:rPr>
        <w:t>Ethnicity</w:t>
      </w:r>
      <w:r w:rsidR="006B7CDA" w:rsidRPr="00F66267">
        <w:rPr>
          <w:sz w:val="20"/>
          <w:szCs w:val="20"/>
        </w:rPr>
        <w:t xml:space="preserve"> data is only collected for pupils in the state sector –</w:t>
      </w:r>
      <w:r w:rsidRPr="00F66267">
        <w:rPr>
          <w:sz w:val="20"/>
          <w:szCs w:val="20"/>
        </w:rPr>
        <w:t xml:space="preserve"> so </w:t>
      </w:r>
      <w:r w:rsidR="006B7CDA" w:rsidRPr="00F66267">
        <w:rPr>
          <w:sz w:val="20"/>
          <w:szCs w:val="20"/>
        </w:rPr>
        <w:t xml:space="preserve">is not available for a group of </w:t>
      </w:r>
      <w:r w:rsidRPr="00F66267">
        <w:rPr>
          <w:sz w:val="20"/>
          <w:szCs w:val="20"/>
        </w:rPr>
        <w:t xml:space="preserve">pupils </w:t>
      </w:r>
      <w:r w:rsidR="006B7CDA" w:rsidRPr="00F66267">
        <w:rPr>
          <w:sz w:val="20"/>
          <w:szCs w:val="20"/>
        </w:rPr>
        <w:t>who were in the independent sector for the entirety of Year 6 to Year 11.</w:t>
      </w:r>
    </w:p>
    <w:p w14:paraId="28665156" w14:textId="74792F01" w:rsidR="006B7CDA" w:rsidRPr="00F66267" w:rsidRDefault="006B7CDA" w:rsidP="006B7CDA">
      <w:pPr>
        <w:rPr>
          <w:sz w:val="20"/>
          <w:szCs w:val="20"/>
        </w:rPr>
      </w:pPr>
      <w:r w:rsidRPr="00F66267">
        <w:rPr>
          <w:sz w:val="20"/>
          <w:szCs w:val="20"/>
        </w:rPr>
        <w:t>Source</w:t>
      </w:r>
      <w:r w:rsidR="00E64475" w:rsidRPr="00F66267">
        <w:rPr>
          <w:sz w:val="20"/>
          <w:szCs w:val="20"/>
        </w:rPr>
        <w:t>:</w:t>
      </w:r>
      <w:r w:rsidRPr="00F66267">
        <w:rPr>
          <w:sz w:val="20"/>
          <w:szCs w:val="20"/>
        </w:rPr>
        <w:t xml:space="preserve"> National Pupil Database</w:t>
      </w:r>
    </w:p>
    <w:p w14:paraId="43E1E039" w14:textId="77777777" w:rsidR="006B7CDA" w:rsidRPr="00F66267" w:rsidRDefault="006B7CDA" w:rsidP="003B78CE">
      <w:pPr>
        <w:rPr>
          <w:sz w:val="20"/>
          <w:szCs w:val="20"/>
        </w:rPr>
      </w:pPr>
    </w:p>
    <w:p w14:paraId="37D3035D" w14:textId="0D60D11D" w:rsidR="00133D29" w:rsidRPr="00F66267" w:rsidRDefault="00AA001B" w:rsidP="006B7CDA">
      <w:pPr>
        <w:pStyle w:val="Heading4"/>
        <w:rPr>
          <w:rFonts w:ascii="Calibri" w:hAnsi="Calibri" w:cs="Calibri"/>
          <w:sz w:val="20"/>
          <w:szCs w:val="20"/>
        </w:rPr>
      </w:pPr>
      <w:r w:rsidRPr="00F66267">
        <w:rPr>
          <w:rFonts w:ascii="Calibri" w:hAnsi="Calibri" w:cs="Calibri"/>
          <w:sz w:val="20"/>
          <w:szCs w:val="20"/>
        </w:rPr>
        <w:t xml:space="preserve">Prior </w:t>
      </w:r>
      <w:r w:rsidR="006B7CDA" w:rsidRPr="00F66267">
        <w:rPr>
          <w:rFonts w:ascii="Calibri" w:hAnsi="Calibri" w:cs="Calibri"/>
          <w:sz w:val="20"/>
          <w:szCs w:val="20"/>
        </w:rPr>
        <w:t>attainment</w:t>
      </w:r>
    </w:p>
    <w:p w14:paraId="7594699C" w14:textId="0C2D1032" w:rsidR="00AA001B" w:rsidRPr="00F66267" w:rsidRDefault="00133D29" w:rsidP="00133D29">
      <w:pPr>
        <w:pStyle w:val="Heading5"/>
        <w:rPr>
          <w:rFonts w:ascii="Calibri" w:hAnsi="Calibri" w:cs="Calibri"/>
          <w:sz w:val="20"/>
          <w:szCs w:val="20"/>
        </w:rPr>
      </w:pPr>
      <w:r w:rsidRPr="00F66267">
        <w:rPr>
          <w:rFonts w:ascii="Calibri" w:hAnsi="Calibri" w:cs="Calibri"/>
          <w:sz w:val="20"/>
          <w:szCs w:val="20"/>
        </w:rPr>
        <w:t>GCSE</w:t>
      </w:r>
    </w:p>
    <w:p w14:paraId="3A79FBB9" w14:textId="7EC788AF" w:rsidR="00F96466" w:rsidRPr="00F66267" w:rsidRDefault="00C112A1" w:rsidP="00F96466">
      <w:pPr>
        <w:rPr>
          <w:sz w:val="20"/>
          <w:szCs w:val="20"/>
        </w:rPr>
      </w:pPr>
      <w:r w:rsidRPr="00F66267">
        <w:rPr>
          <w:sz w:val="20"/>
          <w:szCs w:val="20"/>
        </w:rPr>
        <w:t xml:space="preserve">Pupils’ attainment at Key Stage </w:t>
      </w:r>
      <w:r w:rsidR="00F96466" w:rsidRPr="00F66267">
        <w:rPr>
          <w:sz w:val="20"/>
          <w:szCs w:val="20"/>
        </w:rPr>
        <w:t>2. For the period 20</w:t>
      </w:r>
      <w:r w:rsidR="00DB7231" w:rsidRPr="00F66267">
        <w:rPr>
          <w:sz w:val="20"/>
          <w:szCs w:val="20"/>
        </w:rPr>
        <w:t>10</w:t>
      </w:r>
      <w:r w:rsidR="00F96466" w:rsidRPr="00F66267">
        <w:rPr>
          <w:sz w:val="20"/>
          <w:szCs w:val="20"/>
        </w:rPr>
        <w:t>-20</w:t>
      </w:r>
      <w:r w:rsidR="00DB7231" w:rsidRPr="00F66267">
        <w:rPr>
          <w:sz w:val="20"/>
          <w:szCs w:val="20"/>
        </w:rPr>
        <w:t>16</w:t>
      </w:r>
      <w:r w:rsidR="00F96466" w:rsidRPr="00F66267">
        <w:rPr>
          <w:sz w:val="20"/>
          <w:szCs w:val="20"/>
        </w:rPr>
        <w:t xml:space="preserve"> this is based on English and maths test results; for the period 20</w:t>
      </w:r>
      <w:r w:rsidR="00DB7231" w:rsidRPr="00F66267">
        <w:rPr>
          <w:sz w:val="20"/>
          <w:szCs w:val="20"/>
        </w:rPr>
        <w:t>17</w:t>
      </w:r>
      <w:r w:rsidR="00F96466" w:rsidRPr="00F66267">
        <w:rPr>
          <w:sz w:val="20"/>
          <w:szCs w:val="20"/>
        </w:rPr>
        <w:t>-20</w:t>
      </w:r>
      <w:r w:rsidR="00DB7231" w:rsidRPr="00F66267">
        <w:rPr>
          <w:sz w:val="20"/>
          <w:szCs w:val="20"/>
        </w:rPr>
        <w:t>18</w:t>
      </w:r>
      <w:r w:rsidR="00F96466" w:rsidRPr="00F66267">
        <w:rPr>
          <w:sz w:val="20"/>
          <w:szCs w:val="20"/>
        </w:rPr>
        <w:t xml:space="preserve"> this is based on reading and maths test results</w:t>
      </w:r>
      <w:r w:rsidR="001507B3" w:rsidRPr="00F66267">
        <w:rPr>
          <w:sz w:val="20"/>
          <w:szCs w:val="20"/>
        </w:rPr>
        <w:t xml:space="preserve"> (adjusted so that proportions in each of the prior attainment bands are similar to those pre-2017)</w:t>
      </w:r>
      <w:r w:rsidR="00F96466" w:rsidRPr="00F66267">
        <w:rPr>
          <w:sz w:val="20"/>
          <w:szCs w:val="20"/>
        </w:rPr>
        <w:t>.</w:t>
      </w:r>
    </w:p>
    <w:p w14:paraId="7B5AE347" w14:textId="3416725F" w:rsidR="00F96466" w:rsidRPr="00F66267" w:rsidRDefault="00F96466" w:rsidP="00F96466">
      <w:pPr>
        <w:rPr>
          <w:sz w:val="20"/>
          <w:szCs w:val="20"/>
        </w:rPr>
      </w:pPr>
      <w:r w:rsidRPr="00F66267">
        <w:rPr>
          <w:sz w:val="20"/>
          <w:szCs w:val="20"/>
        </w:rPr>
        <w:t>Prior attainment data is only available for pupils who completed Key Stage 2</w:t>
      </w:r>
      <w:r w:rsidR="00F16E02" w:rsidRPr="00F66267">
        <w:rPr>
          <w:sz w:val="20"/>
          <w:szCs w:val="20"/>
        </w:rPr>
        <w:t xml:space="preserve"> tests</w:t>
      </w:r>
      <w:r w:rsidRPr="00F66267">
        <w:rPr>
          <w:sz w:val="20"/>
          <w:szCs w:val="20"/>
        </w:rPr>
        <w:t>. It is not available for the majority of those who were in the independent sector in Year 6, where KS2 tests are not commonly taken, as well as pupils newly arrived in England since Year 6.</w:t>
      </w:r>
    </w:p>
    <w:p w14:paraId="62B71AED" w14:textId="03FD1813" w:rsidR="00F96466" w:rsidRPr="00F66267" w:rsidRDefault="00F96466" w:rsidP="00F96466">
      <w:pPr>
        <w:rPr>
          <w:sz w:val="20"/>
          <w:szCs w:val="20"/>
        </w:rPr>
      </w:pPr>
      <w:r w:rsidRPr="00F66267">
        <w:rPr>
          <w:sz w:val="20"/>
          <w:szCs w:val="20"/>
        </w:rPr>
        <w:t>Source: National Pupil Database</w:t>
      </w:r>
    </w:p>
    <w:p w14:paraId="1F914714" w14:textId="00675737" w:rsidR="00133D29" w:rsidRPr="00F66267" w:rsidRDefault="00133D29" w:rsidP="00F96466">
      <w:pPr>
        <w:rPr>
          <w:sz w:val="20"/>
          <w:szCs w:val="20"/>
        </w:rPr>
      </w:pPr>
    </w:p>
    <w:p w14:paraId="1E6FFAE8" w14:textId="0E50AB8E" w:rsidR="00133D29" w:rsidRPr="00F66267" w:rsidRDefault="00133D29" w:rsidP="00133D29">
      <w:pPr>
        <w:pStyle w:val="Heading5"/>
        <w:rPr>
          <w:rFonts w:ascii="Calibri" w:hAnsi="Calibri" w:cs="Calibri"/>
          <w:sz w:val="20"/>
          <w:szCs w:val="20"/>
        </w:rPr>
      </w:pPr>
      <w:r w:rsidRPr="00F66267">
        <w:rPr>
          <w:rFonts w:ascii="Calibri" w:hAnsi="Calibri" w:cs="Calibri"/>
          <w:sz w:val="20"/>
          <w:szCs w:val="20"/>
        </w:rPr>
        <w:lastRenderedPageBreak/>
        <w:t>A-Level</w:t>
      </w:r>
    </w:p>
    <w:p w14:paraId="3694D623" w14:textId="7FA9CCCE" w:rsidR="00C112A1" w:rsidRPr="00F66267" w:rsidRDefault="00F16E02" w:rsidP="00F96466">
      <w:pPr>
        <w:rPr>
          <w:sz w:val="20"/>
          <w:szCs w:val="20"/>
        </w:rPr>
      </w:pPr>
      <w:r w:rsidRPr="00F66267">
        <w:rPr>
          <w:sz w:val="20"/>
          <w:szCs w:val="20"/>
        </w:rPr>
        <w:t>Student</w:t>
      </w:r>
      <w:r w:rsidR="00C112A1" w:rsidRPr="00F66267">
        <w:rPr>
          <w:sz w:val="20"/>
          <w:szCs w:val="20"/>
        </w:rPr>
        <w:t>s</w:t>
      </w:r>
      <w:r w:rsidRPr="00F66267">
        <w:rPr>
          <w:sz w:val="20"/>
          <w:szCs w:val="20"/>
        </w:rPr>
        <w:t>’</w:t>
      </w:r>
      <w:r w:rsidR="00C112A1" w:rsidRPr="00F66267">
        <w:rPr>
          <w:sz w:val="20"/>
          <w:szCs w:val="20"/>
        </w:rPr>
        <w:t xml:space="preserve"> attainment at Key Stage 4, calculated based on average point score of English and maths GCSEs (or </w:t>
      </w:r>
      <w:r w:rsidR="002B29E9" w:rsidRPr="00F66267">
        <w:rPr>
          <w:sz w:val="20"/>
          <w:szCs w:val="20"/>
        </w:rPr>
        <w:t xml:space="preserve">the score for </w:t>
      </w:r>
      <w:r w:rsidR="00C112A1" w:rsidRPr="00F66267">
        <w:rPr>
          <w:sz w:val="20"/>
          <w:szCs w:val="20"/>
        </w:rPr>
        <w:t>a single subject if only one was taken).</w:t>
      </w:r>
    </w:p>
    <w:p w14:paraId="56C3A4B2" w14:textId="716DEE83" w:rsidR="00C112A1" w:rsidRPr="00F66267" w:rsidRDefault="00C112A1" w:rsidP="00C112A1">
      <w:pPr>
        <w:rPr>
          <w:sz w:val="20"/>
          <w:szCs w:val="20"/>
        </w:rPr>
      </w:pPr>
      <w:r w:rsidRPr="00F66267">
        <w:rPr>
          <w:sz w:val="20"/>
          <w:szCs w:val="20"/>
        </w:rPr>
        <w:t>Prior attainment data is only available for pupils who completed Key Stage 4</w:t>
      </w:r>
      <w:r w:rsidR="002B29E9" w:rsidRPr="00F66267">
        <w:rPr>
          <w:sz w:val="20"/>
          <w:szCs w:val="20"/>
        </w:rPr>
        <w:t xml:space="preserve"> tests</w:t>
      </w:r>
      <w:r w:rsidRPr="00F66267">
        <w:rPr>
          <w:sz w:val="20"/>
          <w:szCs w:val="20"/>
        </w:rPr>
        <w:t>. It is available for the majority of those who were in the independent sector in Year 11, but not for pupils newly arrived in England since Year 11.</w:t>
      </w:r>
    </w:p>
    <w:p w14:paraId="645AC4D1" w14:textId="4E3BD7BC" w:rsidR="00C112A1" w:rsidRPr="00F66267" w:rsidRDefault="00C112A1" w:rsidP="00F96466">
      <w:pPr>
        <w:rPr>
          <w:sz w:val="20"/>
          <w:szCs w:val="20"/>
        </w:rPr>
      </w:pPr>
      <w:r w:rsidRPr="00F66267">
        <w:rPr>
          <w:sz w:val="20"/>
          <w:szCs w:val="20"/>
        </w:rPr>
        <w:t>Source: National Pupil Database</w:t>
      </w:r>
    </w:p>
    <w:p w14:paraId="4C01ED16" w14:textId="77777777" w:rsidR="00F96466" w:rsidRPr="00F66267" w:rsidRDefault="00F96466" w:rsidP="00F96466">
      <w:pPr>
        <w:rPr>
          <w:sz w:val="20"/>
          <w:szCs w:val="20"/>
        </w:rPr>
      </w:pPr>
    </w:p>
    <w:p w14:paraId="12B1735F" w14:textId="0CAE89D8" w:rsidR="00F96466" w:rsidRPr="00F66267" w:rsidRDefault="00133D29" w:rsidP="00133D29">
      <w:pPr>
        <w:pStyle w:val="Heading3"/>
        <w:rPr>
          <w:rFonts w:ascii="Calibri" w:hAnsi="Calibri" w:cs="Calibri"/>
          <w:sz w:val="20"/>
          <w:szCs w:val="20"/>
        </w:rPr>
      </w:pPr>
      <w:r w:rsidRPr="00F66267">
        <w:rPr>
          <w:rFonts w:ascii="Calibri" w:hAnsi="Calibri" w:cs="Calibri"/>
          <w:sz w:val="20"/>
          <w:szCs w:val="20"/>
        </w:rPr>
        <w:t xml:space="preserve">2.2 </w:t>
      </w:r>
      <w:r w:rsidR="000340CD" w:rsidRPr="00F66267">
        <w:rPr>
          <w:rFonts w:ascii="Calibri" w:hAnsi="Calibri" w:cs="Calibri"/>
          <w:sz w:val="20"/>
          <w:szCs w:val="20"/>
        </w:rPr>
        <w:t>Establishment</w:t>
      </w:r>
      <w:r w:rsidRPr="00F66267">
        <w:rPr>
          <w:rFonts w:ascii="Calibri" w:hAnsi="Calibri" w:cs="Calibri"/>
          <w:sz w:val="20"/>
          <w:szCs w:val="20"/>
        </w:rPr>
        <w:t xml:space="preserve"> characteristics</w:t>
      </w:r>
    </w:p>
    <w:p w14:paraId="618D2A4F" w14:textId="42CC222F" w:rsidR="00AA001B" w:rsidRPr="00F66267" w:rsidRDefault="00AA001B" w:rsidP="006B7CDA">
      <w:pPr>
        <w:pStyle w:val="Heading4"/>
        <w:rPr>
          <w:rFonts w:ascii="Calibri" w:hAnsi="Calibri" w:cs="Calibri"/>
          <w:sz w:val="20"/>
          <w:szCs w:val="20"/>
        </w:rPr>
      </w:pPr>
      <w:r w:rsidRPr="00F66267">
        <w:rPr>
          <w:rFonts w:ascii="Calibri" w:hAnsi="Calibri" w:cs="Calibri"/>
          <w:sz w:val="20"/>
          <w:szCs w:val="20"/>
        </w:rPr>
        <w:t>Region</w:t>
      </w:r>
    </w:p>
    <w:p w14:paraId="2C48401D" w14:textId="608E3BD6" w:rsidR="00133D29" w:rsidRPr="00F66267" w:rsidRDefault="00133D29" w:rsidP="00133D29">
      <w:pPr>
        <w:rPr>
          <w:sz w:val="20"/>
          <w:szCs w:val="20"/>
        </w:rPr>
      </w:pPr>
      <w:r w:rsidRPr="00F66267">
        <w:rPr>
          <w:sz w:val="20"/>
          <w:szCs w:val="20"/>
        </w:rPr>
        <w:t xml:space="preserve">Government office region </w:t>
      </w:r>
      <w:r w:rsidR="000340CD" w:rsidRPr="00F66267">
        <w:rPr>
          <w:sz w:val="20"/>
          <w:szCs w:val="20"/>
        </w:rPr>
        <w:t>of the establishment</w:t>
      </w:r>
      <w:r w:rsidRPr="00F66267">
        <w:rPr>
          <w:sz w:val="20"/>
          <w:szCs w:val="20"/>
        </w:rPr>
        <w:t>.</w:t>
      </w:r>
    </w:p>
    <w:p w14:paraId="1FFCB491" w14:textId="345ECA95" w:rsidR="00133D29" w:rsidRPr="00F66267" w:rsidRDefault="00133D29" w:rsidP="00133D29">
      <w:pPr>
        <w:rPr>
          <w:sz w:val="20"/>
          <w:szCs w:val="20"/>
        </w:rPr>
      </w:pPr>
      <w:r w:rsidRPr="00F66267">
        <w:rPr>
          <w:sz w:val="20"/>
          <w:szCs w:val="20"/>
        </w:rPr>
        <w:t xml:space="preserve">Source: Department for Education </w:t>
      </w:r>
      <w:r w:rsidRPr="00F66267">
        <w:rPr>
          <w:i/>
          <w:sz w:val="20"/>
          <w:szCs w:val="20"/>
        </w:rPr>
        <w:t xml:space="preserve">Get Information </w:t>
      </w:r>
      <w:proofErr w:type="gramStart"/>
      <w:r w:rsidRPr="00F66267">
        <w:rPr>
          <w:i/>
          <w:sz w:val="20"/>
          <w:szCs w:val="20"/>
        </w:rPr>
        <w:t>About</w:t>
      </w:r>
      <w:proofErr w:type="gramEnd"/>
      <w:r w:rsidRPr="00F66267">
        <w:rPr>
          <w:i/>
          <w:sz w:val="20"/>
          <w:szCs w:val="20"/>
        </w:rPr>
        <w:t xml:space="preserve"> Schools</w:t>
      </w:r>
      <w:r w:rsidRPr="00F66267">
        <w:rPr>
          <w:sz w:val="20"/>
          <w:szCs w:val="20"/>
        </w:rPr>
        <w:t xml:space="preserve"> service</w:t>
      </w:r>
    </w:p>
    <w:p w14:paraId="4F3990DB" w14:textId="77777777" w:rsidR="00133D29" w:rsidRPr="00F66267" w:rsidRDefault="00133D29" w:rsidP="00133D29">
      <w:pPr>
        <w:rPr>
          <w:sz w:val="20"/>
          <w:szCs w:val="20"/>
        </w:rPr>
      </w:pPr>
    </w:p>
    <w:p w14:paraId="0C37AC73" w14:textId="699AC677" w:rsidR="00AA001B" w:rsidRPr="00F66267" w:rsidRDefault="00AA001B" w:rsidP="006B7CDA">
      <w:pPr>
        <w:pStyle w:val="Heading4"/>
        <w:rPr>
          <w:rFonts w:ascii="Calibri" w:hAnsi="Calibri" w:cs="Calibri"/>
          <w:sz w:val="20"/>
          <w:szCs w:val="20"/>
        </w:rPr>
      </w:pPr>
      <w:r w:rsidRPr="00F66267">
        <w:rPr>
          <w:rFonts w:ascii="Calibri" w:hAnsi="Calibri" w:cs="Calibri"/>
          <w:sz w:val="20"/>
          <w:szCs w:val="20"/>
        </w:rPr>
        <w:t>Area type</w:t>
      </w:r>
    </w:p>
    <w:p w14:paraId="33449F26" w14:textId="1140299E" w:rsidR="00133D29" w:rsidRPr="00F66267" w:rsidRDefault="000340CD" w:rsidP="00133D29">
      <w:pPr>
        <w:rPr>
          <w:sz w:val="20"/>
          <w:szCs w:val="20"/>
        </w:rPr>
      </w:pPr>
      <w:r w:rsidRPr="00F66267">
        <w:rPr>
          <w:sz w:val="20"/>
          <w:szCs w:val="20"/>
        </w:rPr>
        <w:t>Office for National Statistics</w:t>
      </w:r>
      <w:r w:rsidR="00133D29" w:rsidRPr="00F66267">
        <w:rPr>
          <w:sz w:val="20"/>
          <w:szCs w:val="20"/>
        </w:rPr>
        <w:t xml:space="preserve"> classification of the </w:t>
      </w:r>
      <w:r w:rsidR="002B29E9" w:rsidRPr="00F66267">
        <w:rPr>
          <w:sz w:val="20"/>
          <w:szCs w:val="20"/>
        </w:rPr>
        <w:t xml:space="preserve">area in which the </w:t>
      </w:r>
      <w:r w:rsidRPr="00F66267">
        <w:rPr>
          <w:sz w:val="20"/>
          <w:szCs w:val="20"/>
        </w:rPr>
        <w:t>establishment</w:t>
      </w:r>
      <w:r w:rsidR="002B29E9" w:rsidRPr="00F66267">
        <w:rPr>
          <w:sz w:val="20"/>
          <w:szCs w:val="20"/>
        </w:rPr>
        <w:t xml:space="preserve"> is located</w:t>
      </w:r>
      <w:r w:rsidR="00133D29" w:rsidRPr="00F66267">
        <w:rPr>
          <w:sz w:val="20"/>
          <w:szCs w:val="20"/>
        </w:rPr>
        <w:t>.</w:t>
      </w:r>
    </w:p>
    <w:p w14:paraId="39ABA570" w14:textId="77777777" w:rsidR="00133D29" w:rsidRPr="00F66267" w:rsidRDefault="00133D29" w:rsidP="00133D29">
      <w:pPr>
        <w:rPr>
          <w:sz w:val="20"/>
          <w:szCs w:val="20"/>
        </w:rPr>
      </w:pPr>
      <w:r w:rsidRPr="00F66267">
        <w:rPr>
          <w:sz w:val="20"/>
          <w:szCs w:val="20"/>
        </w:rPr>
        <w:t xml:space="preserve">Source: Department for Education </w:t>
      </w:r>
      <w:r w:rsidRPr="00F66267">
        <w:rPr>
          <w:i/>
          <w:sz w:val="20"/>
          <w:szCs w:val="20"/>
        </w:rPr>
        <w:t xml:space="preserve">Get Information </w:t>
      </w:r>
      <w:proofErr w:type="gramStart"/>
      <w:r w:rsidRPr="00F66267">
        <w:rPr>
          <w:i/>
          <w:sz w:val="20"/>
          <w:szCs w:val="20"/>
        </w:rPr>
        <w:t>About</w:t>
      </w:r>
      <w:proofErr w:type="gramEnd"/>
      <w:r w:rsidRPr="00F66267">
        <w:rPr>
          <w:i/>
          <w:sz w:val="20"/>
          <w:szCs w:val="20"/>
        </w:rPr>
        <w:t xml:space="preserve"> Schools</w:t>
      </w:r>
      <w:r w:rsidRPr="00F66267">
        <w:rPr>
          <w:sz w:val="20"/>
          <w:szCs w:val="20"/>
        </w:rPr>
        <w:t xml:space="preserve"> service</w:t>
      </w:r>
    </w:p>
    <w:p w14:paraId="71BCC53A" w14:textId="77777777" w:rsidR="00133D29" w:rsidRPr="00F66267" w:rsidRDefault="00133D29" w:rsidP="00133D29">
      <w:pPr>
        <w:rPr>
          <w:sz w:val="20"/>
          <w:szCs w:val="20"/>
        </w:rPr>
      </w:pPr>
    </w:p>
    <w:p w14:paraId="21652D52" w14:textId="77777777" w:rsidR="006B7CDA" w:rsidRPr="00F66267" w:rsidRDefault="00AA001B" w:rsidP="006B7CDA">
      <w:pPr>
        <w:pStyle w:val="Heading4"/>
        <w:rPr>
          <w:rFonts w:ascii="Calibri" w:hAnsi="Calibri" w:cs="Calibri"/>
          <w:sz w:val="20"/>
          <w:szCs w:val="20"/>
        </w:rPr>
      </w:pPr>
      <w:r w:rsidRPr="00F66267">
        <w:rPr>
          <w:rFonts w:ascii="Calibri" w:hAnsi="Calibri" w:cs="Calibri"/>
          <w:sz w:val="20"/>
          <w:szCs w:val="20"/>
        </w:rPr>
        <w:t>Coastal</w:t>
      </w:r>
    </w:p>
    <w:p w14:paraId="05C89CE3" w14:textId="35C88A9C" w:rsidR="00AA001B" w:rsidRPr="00F66267" w:rsidRDefault="00AA001B" w:rsidP="003B78CE">
      <w:pPr>
        <w:rPr>
          <w:sz w:val="20"/>
          <w:szCs w:val="20"/>
        </w:rPr>
      </w:pPr>
      <w:r w:rsidRPr="00F66267">
        <w:rPr>
          <w:sz w:val="20"/>
          <w:szCs w:val="20"/>
        </w:rPr>
        <w:t xml:space="preserve">Whether the </w:t>
      </w:r>
      <w:r w:rsidR="000340CD" w:rsidRPr="00F66267">
        <w:rPr>
          <w:sz w:val="20"/>
          <w:szCs w:val="20"/>
        </w:rPr>
        <w:t>establishment is within 5.5km of the coast.</w:t>
      </w:r>
      <w:r w:rsidRPr="00F66267">
        <w:rPr>
          <w:sz w:val="20"/>
          <w:szCs w:val="20"/>
        </w:rPr>
        <w:t xml:space="preserve"> </w:t>
      </w:r>
    </w:p>
    <w:p w14:paraId="66DE7055" w14:textId="77777777" w:rsidR="000340CD" w:rsidRPr="00F66267" w:rsidRDefault="000340CD" w:rsidP="000340CD">
      <w:pPr>
        <w:rPr>
          <w:sz w:val="20"/>
          <w:szCs w:val="20"/>
        </w:rPr>
      </w:pPr>
      <w:r w:rsidRPr="00F66267">
        <w:rPr>
          <w:sz w:val="20"/>
          <w:szCs w:val="20"/>
        </w:rPr>
        <w:t xml:space="preserve">Source: Department for Education </w:t>
      </w:r>
      <w:r w:rsidRPr="00F66267">
        <w:rPr>
          <w:i/>
          <w:sz w:val="20"/>
          <w:szCs w:val="20"/>
        </w:rPr>
        <w:t xml:space="preserve">Get Information </w:t>
      </w:r>
      <w:proofErr w:type="gramStart"/>
      <w:r w:rsidRPr="00F66267">
        <w:rPr>
          <w:i/>
          <w:sz w:val="20"/>
          <w:szCs w:val="20"/>
        </w:rPr>
        <w:t>About</w:t>
      </w:r>
      <w:proofErr w:type="gramEnd"/>
      <w:r w:rsidRPr="00F66267">
        <w:rPr>
          <w:i/>
          <w:sz w:val="20"/>
          <w:szCs w:val="20"/>
        </w:rPr>
        <w:t xml:space="preserve"> Schools</w:t>
      </w:r>
      <w:r w:rsidRPr="00F66267">
        <w:rPr>
          <w:sz w:val="20"/>
          <w:szCs w:val="20"/>
        </w:rPr>
        <w:t xml:space="preserve"> service</w:t>
      </w:r>
    </w:p>
    <w:p w14:paraId="2F914CE8" w14:textId="77777777" w:rsidR="000340CD" w:rsidRPr="00F66267" w:rsidRDefault="000340CD" w:rsidP="003B78CE">
      <w:pPr>
        <w:rPr>
          <w:sz w:val="20"/>
          <w:szCs w:val="20"/>
        </w:rPr>
      </w:pPr>
    </w:p>
    <w:p w14:paraId="30CD982B" w14:textId="06BFFFF4" w:rsidR="00AA001B" w:rsidRPr="00F66267" w:rsidRDefault="00AA001B" w:rsidP="006B7CDA">
      <w:pPr>
        <w:pStyle w:val="Heading4"/>
        <w:rPr>
          <w:rFonts w:ascii="Calibri" w:hAnsi="Calibri" w:cs="Calibri"/>
          <w:sz w:val="20"/>
          <w:szCs w:val="20"/>
        </w:rPr>
      </w:pPr>
      <w:r w:rsidRPr="00F66267">
        <w:rPr>
          <w:rFonts w:ascii="Calibri" w:hAnsi="Calibri" w:cs="Calibri"/>
          <w:sz w:val="20"/>
          <w:szCs w:val="20"/>
        </w:rPr>
        <w:t>Opportunity area</w:t>
      </w:r>
    </w:p>
    <w:p w14:paraId="5EEAF1F9" w14:textId="476250BE" w:rsidR="000340CD" w:rsidRPr="00F66267" w:rsidRDefault="000340CD" w:rsidP="000340CD">
      <w:pPr>
        <w:rPr>
          <w:sz w:val="20"/>
          <w:szCs w:val="20"/>
        </w:rPr>
      </w:pPr>
      <w:r w:rsidRPr="00F66267">
        <w:rPr>
          <w:sz w:val="20"/>
          <w:szCs w:val="20"/>
        </w:rPr>
        <w:t>Whether the establishment is located within one of the Department for Education’s opportunity areas, based on local authority districts:</w:t>
      </w:r>
    </w:p>
    <w:p w14:paraId="21C075BF" w14:textId="77777777" w:rsidR="00CF5B19" w:rsidRPr="00F66267" w:rsidRDefault="00CF5B19" w:rsidP="000340CD">
      <w:pPr>
        <w:rPr>
          <w:sz w:val="20"/>
          <w:szCs w:val="20"/>
        </w:rPr>
      </w:pPr>
    </w:p>
    <w:p w14:paraId="3CFE6BF3" w14:textId="0C0B3C2A" w:rsidR="000340CD" w:rsidRPr="00F66267" w:rsidRDefault="000340CD" w:rsidP="00ED1EF1">
      <w:pPr>
        <w:pStyle w:val="ListParagraph"/>
        <w:numPr>
          <w:ilvl w:val="0"/>
          <w:numId w:val="23"/>
        </w:numPr>
        <w:rPr>
          <w:rFonts w:cs="Calibri"/>
          <w:sz w:val="20"/>
          <w:szCs w:val="20"/>
        </w:rPr>
      </w:pPr>
      <w:r w:rsidRPr="00F66267">
        <w:rPr>
          <w:rFonts w:cs="Calibri"/>
          <w:sz w:val="20"/>
          <w:szCs w:val="20"/>
        </w:rPr>
        <w:t>West Somerset (E07000191)</w:t>
      </w:r>
    </w:p>
    <w:p w14:paraId="07802717" w14:textId="231932CE" w:rsidR="000340CD" w:rsidRPr="00F66267" w:rsidRDefault="000340CD" w:rsidP="00ED1EF1">
      <w:pPr>
        <w:pStyle w:val="ListParagraph"/>
        <w:numPr>
          <w:ilvl w:val="0"/>
          <w:numId w:val="23"/>
        </w:numPr>
        <w:rPr>
          <w:rFonts w:cs="Calibri"/>
          <w:sz w:val="20"/>
          <w:szCs w:val="20"/>
        </w:rPr>
      </w:pPr>
      <w:r w:rsidRPr="00F66267">
        <w:rPr>
          <w:rFonts w:cs="Calibri"/>
          <w:sz w:val="20"/>
          <w:szCs w:val="20"/>
        </w:rPr>
        <w:t>Norwich (E07000148)</w:t>
      </w:r>
    </w:p>
    <w:p w14:paraId="5A6860B7" w14:textId="26770C1F" w:rsidR="000340CD" w:rsidRPr="00F66267" w:rsidRDefault="000340CD" w:rsidP="00ED1EF1">
      <w:pPr>
        <w:pStyle w:val="ListParagraph"/>
        <w:numPr>
          <w:ilvl w:val="0"/>
          <w:numId w:val="23"/>
        </w:numPr>
        <w:rPr>
          <w:rFonts w:cs="Calibri"/>
          <w:sz w:val="20"/>
          <w:szCs w:val="20"/>
        </w:rPr>
      </w:pPr>
      <w:r w:rsidRPr="00F66267">
        <w:rPr>
          <w:rFonts w:cs="Calibri"/>
          <w:sz w:val="20"/>
          <w:szCs w:val="20"/>
        </w:rPr>
        <w:t>Fenland and East Cambridgeshire (E07000010</w:t>
      </w:r>
      <w:r w:rsidR="00ED1EF1" w:rsidRPr="00F66267">
        <w:rPr>
          <w:rFonts w:cs="Calibri"/>
          <w:sz w:val="20"/>
          <w:szCs w:val="20"/>
        </w:rPr>
        <w:t>, E07000009</w:t>
      </w:r>
      <w:r w:rsidRPr="00F66267">
        <w:rPr>
          <w:rFonts w:cs="Calibri"/>
          <w:sz w:val="20"/>
          <w:szCs w:val="20"/>
        </w:rPr>
        <w:t>)</w:t>
      </w:r>
    </w:p>
    <w:p w14:paraId="715331A2" w14:textId="7D7932F1" w:rsidR="000340CD" w:rsidRPr="00F66267" w:rsidRDefault="000340CD" w:rsidP="00ED1EF1">
      <w:pPr>
        <w:pStyle w:val="ListParagraph"/>
        <w:numPr>
          <w:ilvl w:val="0"/>
          <w:numId w:val="23"/>
        </w:numPr>
        <w:rPr>
          <w:rFonts w:cs="Calibri"/>
          <w:sz w:val="20"/>
          <w:szCs w:val="20"/>
        </w:rPr>
      </w:pPr>
      <w:r w:rsidRPr="00F66267">
        <w:rPr>
          <w:rFonts w:cs="Calibri"/>
          <w:sz w:val="20"/>
          <w:szCs w:val="20"/>
        </w:rPr>
        <w:t>Blackpool (E06000009)</w:t>
      </w:r>
    </w:p>
    <w:p w14:paraId="1FA3F5EF" w14:textId="36D73A33" w:rsidR="000340CD" w:rsidRPr="00F66267" w:rsidRDefault="000340CD" w:rsidP="00ED1EF1">
      <w:pPr>
        <w:pStyle w:val="ListParagraph"/>
        <w:numPr>
          <w:ilvl w:val="0"/>
          <w:numId w:val="23"/>
        </w:numPr>
        <w:rPr>
          <w:rFonts w:cs="Calibri"/>
          <w:sz w:val="20"/>
          <w:szCs w:val="20"/>
        </w:rPr>
      </w:pPr>
      <w:r w:rsidRPr="00F66267">
        <w:rPr>
          <w:rFonts w:cs="Calibri"/>
          <w:sz w:val="20"/>
          <w:szCs w:val="20"/>
        </w:rPr>
        <w:t>Scarborough (E07000168)</w:t>
      </w:r>
    </w:p>
    <w:p w14:paraId="625939B0" w14:textId="799C1445" w:rsidR="000340CD" w:rsidRPr="00F66267" w:rsidRDefault="000340CD" w:rsidP="00ED1EF1">
      <w:pPr>
        <w:pStyle w:val="ListParagraph"/>
        <w:numPr>
          <w:ilvl w:val="0"/>
          <w:numId w:val="23"/>
        </w:numPr>
        <w:rPr>
          <w:rFonts w:cs="Calibri"/>
          <w:sz w:val="20"/>
          <w:szCs w:val="20"/>
        </w:rPr>
      </w:pPr>
      <w:r w:rsidRPr="00F66267">
        <w:rPr>
          <w:rFonts w:cs="Calibri"/>
          <w:sz w:val="20"/>
          <w:szCs w:val="20"/>
        </w:rPr>
        <w:t>Derby (E06000015)</w:t>
      </w:r>
    </w:p>
    <w:p w14:paraId="14070841" w14:textId="38066036" w:rsidR="000340CD" w:rsidRPr="00F66267" w:rsidRDefault="000340CD" w:rsidP="00ED1EF1">
      <w:pPr>
        <w:pStyle w:val="ListParagraph"/>
        <w:numPr>
          <w:ilvl w:val="0"/>
          <w:numId w:val="23"/>
        </w:numPr>
        <w:rPr>
          <w:rFonts w:cs="Calibri"/>
          <w:sz w:val="20"/>
          <w:szCs w:val="20"/>
        </w:rPr>
      </w:pPr>
      <w:r w:rsidRPr="00F66267">
        <w:rPr>
          <w:rFonts w:cs="Calibri"/>
          <w:sz w:val="20"/>
          <w:szCs w:val="20"/>
        </w:rPr>
        <w:t>Doncaster (E08000017</w:t>
      </w:r>
      <w:r w:rsidR="00ED1EF1" w:rsidRPr="00F66267">
        <w:rPr>
          <w:rFonts w:cs="Calibri"/>
          <w:sz w:val="20"/>
          <w:szCs w:val="20"/>
        </w:rPr>
        <w:t>)</w:t>
      </w:r>
    </w:p>
    <w:p w14:paraId="6CD46DFE" w14:textId="718A9363" w:rsidR="000340CD" w:rsidRPr="00F66267" w:rsidRDefault="000340CD" w:rsidP="00ED1EF1">
      <w:pPr>
        <w:pStyle w:val="ListParagraph"/>
        <w:numPr>
          <w:ilvl w:val="0"/>
          <w:numId w:val="23"/>
        </w:numPr>
        <w:rPr>
          <w:rFonts w:cs="Calibri"/>
          <w:sz w:val="20"/>
          <w:szCs w:val="20"/>
        </w:rPr>
      </w:pPr>
      <w:r w:rsidRPr="00F66267">
        <w:rPr>
          <w:rFonts w:cs="Calibri"/>
          <w:sz w:val="20"/>
          <w:szCs w:val="20"/>
        </w:rPr>
        <w:t>Stoke-on-Trent</w:t>
      </w:r>
      <w:r w:rsidR="00ED1EF1" w:rsidRPr="00F66267">
        <w:rPr>
          <w:rFonts w:cs="Calibri"/>
          <w:sz w:val="20"/>
          <w:szCs w:val="20"/>
        </w:rPr>
        <w:t xml:space="preserve"> (E06000021)</w:t>
      </w:r>
    </w:p>
    <w:p w14:paraId="2C8C94F2" w14:textId="7CC445D6" w:rsidR="000340CD" w:rsidRPr="00F66267" w:rsidRDefault="000340CD" w:rsidP="00ED1EF1">
      <w:pPr>
        <w:pStyle w:val="ListParagraph"/>
        <w:numPr>
          <w:ilvl w:val="0"/>
          <w:numId w:val="23"/>
        </w:numPr>
        <w:rPr>
          <w:rFonts w:cs="Calibri"/>
          <w:sz w:val="20"/>
          <w:szCs w:val="20"/>
        </w:rPr>
      </w:pPr>
      <w:r w:rsidRPr="00F66267">
        <w:rPr>
          <w:rFonts w:cs="Calibri"/>
          <w:sz w:val="20"/>
          <w:szCs w:val="20"/>
        </w:rPr>
        <w:t>Oldham</w:t>
      </w:r>
      <w:r w:rsidR="00ED1EF1" w:rsidRPr="00F66267">
        <w:rPr>
          <w:rFonts w:cs="Calibri"/>
          <w:sz w:val="20"/>
          <w:szCs w:val="20"/>
        </w:rPr>
        <w:t xml:space="preserve"> (E08000004)</w:t>
      </w:r>
    </w:p>
    <w:p w14:paraId="283AE281" w14:textId="334CC42E" w:rsidR="000340CD" w:rsidRPr="00F66267" w:rsidRDefault="000340CD" w:rsidP="00ED1EF1">
      <w:pPr>
        <w:pStyle w:val="ListParagraph"/>
        <w:numPr>
          <w:ilvl w:val="0"/>
          <w:numId w:val="23"/>
        </w:numPr>
        <w:rPr>
          <w:rFonts w:cs="Calibri"/>
          <w:sz w:val="20"/>
          <w:szCs w:val="20"/>
        </w:rPr>
      </w:pPr>
      <w:r w:rsidRPr="00F66267">
        <w:rPr>
          <w:rFonts w:cs="Calibri"/>
          <w:sz w:val="20"/>
          <w:szCs w:val="20"/>
        </w:rPr>
        <w:t>Ipswich</w:t>
      </w:r>
      <w:r w:rsidR="00ED1EF1" w:rsidRPr="00F66267">
        <w:rPr>
          <w:rFonts w:cs="Calibri"/>
          <w:sz w:val="20"/>
          <w:szCs w:val="20"/>
        </w:rPr>
        <w:t xml:space="preserve"> (E07000202)</w:t>
      </w:r>
    </w:p>
    <w:p w14:paraId="7610397D" w14:textId="62296E5C" w:rsidR="000340CD" w:rsidRPr="00F66267" w:rsidRDefault="000340CD" w:rsidP="00ED1EF1">
      <w:pPr>
        <w:pStyle w:val="ListParagraph"/>
        <w:numPr>
          <w:ilvl w:val="0"/>
          <w:numId w:val="23"/>
        </w:numPr>
        <w:rPr>
          <w:rFonts w:cs="Calibri"/>
          <w:sz w:val="20"/>
          <w:szCs w:val="20"/>
        </w:rPr>
      </w:pPr>
      <w:r w:rsidRPr="00F66267">
        <w:rPr>
          <w:rFonts w:cs="Calibri"/>
          <w:sz w:val="20"/>
          <w:szCs w:val="20"/>
        </w:rPr>
        <w:t>Hastings</w:t>
      </w:r>
      <w:r w:rsidR="00ED1EF1" w:rsidRPr="00F66267">
        <w:rPr>
          <w:rFonts w:cs="Calibri"/>
          <w:sz w:val="20"/>
          <w:szCs w:val="20"/>
        </w:rPr>
        <w:t xml:space="preserve"> (E07000062)</w:t>
      </w:r>
    </w:p>
    <w:p w14:paraId="024E029F" w14:textId="0C3818CE" w:rsidR="000340CD" w:rsidRPr="00F66267" w:rsidRDefault="000340CD" w:rsidP="00ED1EF1">
      <w:pPr>
        <w:pStyle w:val="ListParagraph"/>
        <w:numPr>
          <w:ilvl w:val="0"/>
          <w:numId w:val="23"/>
        </w:numPr>
        <w:rPr>
          <w:rFonts w:cs="Calibri"/>
          <w:sz w:val="20"/>
          <w:szCs w:val="20"/>
        </w:rPr>
      </w:pPr>
      <w:r w:rsidRPr="00F66267">
        <w:rPr>
          <w:rFonts w:cs="Calibri"/>
          <w:sz w:val="20"/>
          <w:szCs w:val="20"/>
        </w:rPr>
        <w:t>Bradford</w:t>
      </w:r>
      <w:r w:rsidR="00ED1EF1" w:rsidRPr="00F66267">
        <w:rPr>
          <w:rFonts w:cs="Calibri"/>
          <w:sz w:val="20"/>
          <w:szCs w:val="20"/>
        </w:rPr>
        <w:t xml:space="preserve"> (E08000032)</w:t>
      </w:r>
    </w:p>
    <w:p w14:paraId="7651D8DC" w14:textId="77777777" w:rsidR="000340CD" w:rsidRPr="00F66267" w:rsidRDefault="000340CD" w:rsidP="000340CD">
      <w:pPr>
        <w:rPr>
          <w:sz w:val="20"/>
          <w:szCs w:val="20"/>
        </w:rPr>
      </w:pPr>
    </w:p>
    <w:p w14:paraId="3CF97658" w14:textId="1BA741A9" w:rsidR="000340CD" w:rsidRPr="00F66267" w:rsidRDefault="000340CD" w:rsidP="000340CD">
      <w:pPr>
        <w:rPr>
          <w:sz w:val="20"/>
          <w:szCs w:val="20"/>
        </w:rPr>
      </w:pPr>
      <w:r w:rsidRPr="00F66267">
        <w:rPr>
          <w:sz w:val="20"/>
          <w:szCs w:val="20"/>
        </w:rPr>
        <w:t xml:space="preserve">Source: Department for Education </w:t>
      </w:r>
      <w:r w:rsidRPr="00F66267">
        <w:rPr>
          <w:i/>
          <w:sz w:val="20"/>
          <w:szCs w:val="20"/>
        </w:rPr>
        <w:t xml:space="preserve">Get Information </w:t>
      </w:r>
      <w:proofErr w:type="gramStart"/>
      <w:r w:rsidRPr="00F66267">
        <w:rPr>
          <w:i/>
          <w:sz w:val="20"/>
          <w:szCs w:val="20"/>
        </w:rPr>
        <w:t>About</w:t>
      </w:r>
      <w:proofErr w:type="gramEnd"/>
      <w:r w:rsidRPr="00F66267">
        <w:rPr>
          <w:i/>
          <w:sz w:val="20"/>
          <w:szCs w:val="20"/>
        </w:rPr>
        <w:t xml:space="preserve"> Schools</w:t>
      </w:r>
      <w:r w:rsidRPr="00F66267">
        <w:rPr>
          <w:sz w:val="20"/>
          <w:szCs w:val="20"/>
        </w:rPr>
        <w:t xml:space="preserve"> service</w:t>
      </w:r>
      <w:r w:rsidR="00ED1EF1" w:rsidRPr="00F66267">
        <w:rPr>
          <w:sz w:val="20"/>
          <w:szCs w:val="20"/>
        </w:rPr>
        <w:t xml:space="preserve">, </w:t>
      </w:r>
      <w:proofErr w:type="spellStart"/>
      <w:r w:rsidR="00ED1EF1" w:rsidRPr="00F66267">
        <w:rPr>
          <w:sz w:val="20"/>
          <w:szCs w:val="20"/>
        </w:rPr>
        <w:t>DfE</w:t>
      </w:r>
      <w:proofErr w:type="spellEnd"/>
      <w:r w:rsidR="00ED1EF1" w:rsidRPr="00F66267">
        <w:rPr>
          <w:sz w:val="20"/>
          <w:szCs w:val="20"/>
        </w:rPr>
        <w:t xml:space="preserve"> </w:t>
      </w:r>
      <w:hyperlink r:id="rId10" w:history="1">
        <w:r w:rsidR="00ED1EF1" w:rsidRPr="00F66267">
          <w:rPr>
            <w:rStyle w:val="Hyperlink"/>
            <w:sz w:val="20"/>
            <w:szCs w:val="20"/>
          </w:rPr>
          <w:t>opportunity areas dataset</w:t>
        </w:r>
      </w:hyperlink>
    </w:p>
    <w:p w14:paraId="0ECADF41" w14:textId="77777777" w:rsidR="000340CD" w:rsidRPr="00F66267" w:rsidRDefault="000340CD" w:rsidP="000340CD">
      <w:pPr>
        <w:rPr>
          <w:sz w:val="20"/>
          <w:szCs w:val="20"/>
        </w:rPr>
      </w:pPr>
    </w:p>
    <w:p w14:paraId="52AA8D34" w14:textId="0641085A" w:rsidR="00AA001B" w:rsidRPr="00F66267" w:rsidRDefault="00AA001B" w:rsidP="006B7CDA">
      <w:pPr>
        <w:pStyle w:val="Heading4"/>
        <w:rPr>
          <w:rFonts w:ascii="Calibri" w:hAnsi="Calibri" w:cs="Calibri"/>
          <w:sz w:val="20"/>
          <w:szCs w:val="20"/>
        </w:rPr>
      </w:pPr>
      <w:r w:rsidRPr="00F66267">
        <w:rPr>
          <w:rFonts w:ascii="Calibri" w:hAnsi="Calibri" w:cs="Calibri"/>
          <w:sz w:val="20"/>
          <w:szCs w:val="20"/>
        </w:rPr>
        <w:t>School free school meals quintile (GCSE only)</w:t>
      </w:r>
    </w:p>
    <w:p w14:paraId="5C845DC8" w14:textId="7563C998" w:rsidR="00ED1EF1" w:rsidRPr="00F66267" w:rsidRDefault="00ED1EF1" w:rsidP="00ED1EF1">
      <w:pPr>
        <w:rPr>
          <w:sz w:val="20"/>
          <w:szCs w:val="20"/>
        </w:rPr>
      </w:pPr>
      <w:r w:rsidRPr="00F66267">
        <w:rPr>
          <w:sz w:val="20"/>
          <w:szCs w:val="20"/>
        </w:rPr>
        <w:t>Quintile in which the school falls when schools are put into bands based on the percentage of pupils eligible for free school meals in the year under consideration. Quintiles are calculated separately for mainstream schools, special schools and alternative provision.</w:t>
      </w:r>
    </w:p>
    <w:p w14:paraId="07EA1939" w14:textId="229B9C37" w:rsidR="00ED1EF1" w:rsidRPr="00F66267" w:rsidRDefault="00ED1EF1" w:rsidP="00ED1EF1">
      <w:pPr>
        <w:rPr>
          <w:sz w:val="20"/>
          <w:szCs w:val="20"/>
        </w:rPr>
      </w:pPr>
      <w:r w:rsidRPr="00F66267">
        <w:rPr>
          <w:sz w:val="20"/>
          <w:szCs w:val="20"/>
        </w:rPr>
        <w:t xml:space="preserve">Source: Department for Education </w:t>
      </w:r>
      <w:hyperlink r:id="rId11" w:history="1">
        <w:r w:rsidRPr="00F66267">
          <w:rPr>
            <w:rStyle w:val="Hyperlink"/>
            <w:i/>
            <w:sz w:val="20"/>
            <w:szCs w:val="20"/>
          </w:rPr>
          <w:t>Schools, pupils and their characteristics</w:t>
        </w:r>
      </w:hyperlink>
      <w:r w:rsidRPr="00F66267">
        <w:rPr>
          <w:i/>
          <w:sz w:val="20"/>
          <w:szCs w:val="20"/>
        </w:rPr>
        <w:t xml:space="preserve"> </w:t>
      </w:r>
      <w:r w:rsidRPr="00F66267">
        <w:rPr>
          <w:sz w:val="20"/>
          <w:szCs w:val="20"/>
        </w:rPr>
        <w:t xml:space="preserve">releases </w:t>
      </w:r>
    </w:p>
    <w:p w14:paraId="5CDA3843" w14:textId="77777777" w:rsidR="00ED1EF1" w:rsidRPr="00F66267" w:rsidRDefault="00ED1EF1" w:rsidP="00ED1EF1">
      <w:pPr>
        <w:rPr>
          <w:sz w:val="20"/>
          <w:szCs w:val="20"/>
        </w:rPr>
      </w:pPr>
    </w:p>
    <w:p w14:paraId="35F3F49A" w14:textId="43566F3F" w:rsidR="00AA001B" w:rsidRPr="00F66267" w:rsidRDefault="00AA001B" w:rsidP="006B7CDA">
      <w:pPr>
        <w:pStyle w:val="Heading4"/>
        <w:rPr>
          <w:rFonts w:ascii="Calibri" w:hAnsi="Calibri" w:cs="Calibri"/>
          <w:sz w:val="20"/>
          <w:szCs w:val="20"/>
        </w:rPr>
      </w:pPr>
      <w:r w:rsidRPr="00F66267">
        <w:rPr>
          <w:rFonts w:ascii="Calibri" w:hAnsi="Calibri" w:cs="Calibri"/>
          <w:sz w:val="20"/>
          <w:szCs w:val="20"/>
        </w:rPr>
        <w:t>Admissions policy (GCSE only)</w:t>
      </w:r>
    </w:p>
    <w:p w14:paraId="267C72F9" w14:textId="13945AA0" w:rsidR="00ED1EF1" w:rsidRPr="00F66267" w:rsidRDefault="00ED1EF1" w:rsidP="00ED1EF1">
      <w:pPr>
        <w:rPr>
          <w:sz w:val="20"/>
          <w:szCs w:val="20"/>
        </w:rPr>
      </w:pPr>
      <w:r w:rsidRPr="00F66267">
        <w:rPr>
          <w:sz w:val="20"/>
          <w:szCs w:val="20"/>
        </w:rPr>
        <w:t>Department for Education classification of the establishment’s admissions policy.</w:t>
      </w:r>
    </w:p>
    <w:p w14:paraId="0A459BC1" w14:textId="5E77A76E" w:rsidR="00146593" w:rsidRPr="00F66267" w:rsidRDefault="00146593" w:rsidP="00ED1EF1">
      <w:pPr>
        <w:rPr>
          <w:sz w:val="20"/>
          <w:szCs w:val="20"/>
        </w:rPr>
      </w:pPr>
      <w:r w:rsidRPr="00F66267">
        <w:rPr>
          <w:sz w:val="20"/>
          <w:szCs w:val="20"/>
        </w:rPr>
        <w:t xml:space="preserve">Secondary moderns are those schools which self-define as such. In reality, the group of schools that could be considered secondary moderns </w:t>
      </w:r>
      <w:hyperlink r:id="rId12" w:history="1">
        <w:r w:rsidRPr="00F66267">
          <w:rPr>
            <w:rStyle w:val="Hyperlink"/>
            <w:sz w:val="20"/>
            <w:szCs w:val="20"/>
          </w:rPr>
          <w:t>is some way broader</w:t>
        </w:r>
      </w:hyperlink>
      <w:r w:rsidRPr="00F66267">
        <w:rPr>
          <w:sz w:val="20"/>
          <w:szCs w:val="20"/>
        </w:rPr>
        <w:t>.</w:t>
      </w:r>
    </w:p>
    <w:p w14:paraId="131F8849" w14:textId="77777777" w:rsidR="00ED1EF1" w:rsidRPr="00F66267" w:rsidRDefault="00ED1EF1" w:rsidP="00ED1EF1">
      <w:pPr>
        <w:rPr>
          <w:sz w:val="20"/>
          <w:szCs w:val="20"/>
        </w:rPr>
      </w:pPr>
      <w:r w:rsidRPr="00F66267">
        <w:rPr>
          <w:sz w:val="20"/>
          <w:szCs w:val="20"/>
        </w:rPr>
        <w:t xml:space="preserve">Source: Department for Education </w:t>
      </w:r>
      <w:r w:rsidRPr="00F66267">
        <w:rPr>
          <w:i/>
          <w:sz w:val="20"/>
          <w:szCs w:val="20"/>
        </w:rPr>
        <w:t xml:space="preserve">Get Information </w:t>
      </w:r>
      <w:proofErr w:type="gramStart"/>
      <w:r w:rsidRPr="00F66267">
        <w:rPr>
          <w:i/>
          <w:sz w:val="20"/>
          <w:szCs w:val="20"/>
        </w:rPr>
        <w:t>About</w:t>
      </w:r>
      <w:proofErr w:type="gramEnd"/>
      <w:r w:rsidRPr="00F66267">
        <w:rPr>
          <w:i/>
          <w:sz w:val="20"/>
          <w:szCs w:val="20"/>
        </w:rPr>
        <w:t xml:space="preserve"> Schools</w:t>
      </w:r>
      <w:r w:rsidRPr="00F66267">
        <w:rPr>
          <w:sz w:val="20"/>
          <w:szCs w:val="20"/>
        </w:rPr>
        <w:t xml:space="preserve"> service</w:t>
      </w:r>
    </w:p>
    <w:p w14:paraId="65F69E8C" w14:textId="77777777" w:rsidR="00ED1EF1" w:rsidRPr="00F66267" w:rsidRDefault="00ED1EF1" w:rsidP="00ED1EF1">
      <w:pPr>
        <w:rPr>
          <w:sz w:val="20"/>
          <w:szCs w:val="20"/>
        </w:rPr>
      </w:pPr>
    </w:p>
    <w:p w14:paraId="55D0F9C0" w14:textId="0BF58E8E" w:rsidR="00AA001B" w:rsidRPr="00F66267" w:rsidRDefault="00AA001B" w:rsidP="006B7CDA">
      <w:pPr>
        <w:pStyle w:val="Heading4"/>
        <w:rPr>
          <w:rFonts w:ascii="Calibri" w:hAnsi="Calibri" w:cs="Calibri"/>
          <w:sz w:val="20"/>
          <w:szCs w:val="20"/>
        </w:rPr>
      </w:pPr>
      <w:r w:rsidRPr="00F66267">
        <w:rPr>
          <w:rFonts w:ascii="Calibri" w:hAnsi="Calibri" w:cs="Calibri"/>
          <w:sz w:val="20"/>
          <w:szCs w:val="20"/>
        </w:rPr>
        <w:t>Establishment type (A-Level only)</w:t>
      </w:r>
    </w:p>
    <w:p w14:paraId="14240C2E" w14:textId="6A28358D" w:rsidR="00ED1EF1" w:rsidRPr="00F66267" w:rsidRDefault="00ED1EF1" w:rsidP="00ED1EF1">
      <w:pPr>
        <w:rPr>
          <w:sz w:val="20"/>
          <w:szCs w:val="20"/>
        </w:rPr>
      </w:pPr>
      <w:r w:rsidRPr="00F66267">
        <w:rPr>
          <w:sz w:val="20"/>
          <w:szCs w:val="20"/>
        </w:rPr>
        <w:t xml:space="preserve">Department for Education classification of the </w:t>
      </w:r>
      <w:r w:rsidR="00D91AAE" w:rsidRPr="00F66267">
        <w:rPr>
          <w:sz w:val="20"/>
          <w:szCs w:val="20"/>
        </w:rPr>
        <w:t xml:space="preserve">category </w:t>
      </w:r>
      <w:r w:rsidRPr="00F66267">
        <w:rPr>
          <w:sz w:val="20"/>
          <w:szCs w:val="20"/>
        </w:rPr>
        <w:t xml:space="preserve">of further education which the establishment </w:t>
      </w:r>
      <w:r w:rsidR="00D91AAE" w:rsidRPr="00F66267">
        <w:rPr>
          <w:sz w:val="20"/>
          <w:szCs w:val="20"/>
        </w:rPr>
        <w:t>falls into</w:t>
      </w:r>
      <w:r w:rsidRPr="00F66267">
        <w:rPr>
          <w:sz w:val="20"/>
          <w:szCs w:val="20"/>
        </w:rPr>
        <w:t>.</w:t>
      </w:r>
    </w:p>
    <w:p w14:paraId="3BB7BDEE" w14:textId="77777777" w:rsidR="00ED1EF1" w:rsidRPr="00F66267" w:rsidRDefault="00ED1EF1" w:rsidP="00ED1EF1">
      <w:pPr>
        <w:rPr>
          <w:sz w:val="20"/>
          <w:szCs w:val="20"/>
        </w:rPr>
      </w:pPr>
      <w:r w:rsidRPr="00F66267">
        <w:rPr>
          <w:sz w:val="20"/>
          <w:szCs w:val="20"/>
        </w:rPr>
        <w:t xml:space="preserve">Source: Department for Education </w:t>
      </w:r>
      <w:r w:rsidRPr="00F66267">
        <w:rPr>
          <w:i/>
          <w:sz w:val="20"/>
          <w:szCs w:val="20"/>
        </w:rPr>
        <w:t xml:space="preserve">Get Information </w:t>
      </w:r>
      <w:proofErr w:type="gramStart"/>
      <w:r w:rsidRPr="00F66267">
        <w:rPr>
          <w:i/>
          <w:sz w:val="20"/>
          <w:szCs w:val="20"/>
        </w:rPr>
        <w:t>About</w:t>
      </w:r>
      <w:proofErr w:type="gramEnd"/>
      <w:r w:rsidRPr="00F66267">
        <w:rPr>
          <w:i/>
          <w:sz w:val="20"/>
          <w:szCs w:val="20"/>
        </w:rPr>
        <w:t xml:space="preserve"> Schools</w:t>
      </w:r>
      <w:r w:rsidRPr="00F66267">
        <w:rPr>
          <w:sz w:val="20"/>
          <w:szCs w:val="20"/>
        </w:rPr>
        <w:t xml:space="preserve"> service</w:t>
      </w:r>
    </w:p>
    <w:p w14:paraId="508D1673" w14:textId="77777777" w:rsidR="00F66267" w:rsidRDefault="00F66267" w:rsidP="006B7CDA">
      <w:pPr>
        <w:pStyle w:val="Heading4"/>
        <w:rPr>
          <w:rFonts w:ascii="Calibri" w:hAnsi="Calibri" w:cs="Calibri"/>
          <w:sz w:val="20"/>
          <w:szCs w:val="20"/>
        </w:rPr>
      </w:pPr>
    </w:p>
    <w:p w14:paraId="0A6EA768" w14:textId="405CDB8E" w:rsidR="00AA001B" w:rsidRPr="00F66267" w:rsidRDefault="00AA001B" w:rsidP="006B7CDA">
      <w:pPr>
        <w:pStyle w:val="Heading4"/>
        <w:rPr>
          <w:rFonts w:ascii="Calibri" w:hAnsi="Calibri" w:cs="Calibri"/>
          <w:sz w:val="20"/>
          <w:szCs w:val="20"/>
        </w:rPr>
      </w:pPr>
      <w:r w:rsidRPr="00F66267">
        <w:rPr>
          <w:rFonts w:ascii="Calibri" w:hAnsi="Calibri" w:cs="Calibri"/>
          <w:sz w:val="20"/>
          <w:szCs w:val="20"/>
        </w:rPr>
        <w:t>Governance</w:t>
      </w:r>
    </w:p>
    <w:p w14:paraId="6AF04575" w14:textId="369F53AD" w:rsidR="00D91AAE" w:rsidRPr="00F66267" w:rsidRDefault="00D91AAE" w:rsidP="00D91AAE">
      <w:pPr>
        <w:rPr>
          <w:sz w:val="20"/>
          <w:szCs w:val="20"/>
        </w:rPr>
      </w:pPr>
      <w:r w:rsidRPr="00F66267">
        <w:rPr>
          <w:sz w:val="20"/>
          <w:szCs w:val="20"/>
        </w:rPr>
        <w:t>Department for Education classification of the establishment’s governance.</w:t>
      </w:r>
    </w:p>
    <w:p w14:paraId="4D5ABC4D" w14:textId="77777777" w:rsidR="00D91AAE" w:rsidRPr="00F66267" w:rsidRDefault="00D91AAE" w:rsidP="00D91AAE">
      <w:pPr>
        <w:rPr>
          <w:sz w:val="20"/>
          <w:szCs w:val="20"/>
        </w:rPr>
      </w:pPr>
      <w:r w:rsidRPr="00F66267">
        <w:rPr>
          <w:sz w:val="20"/>
          <w:szCs w:val="20"/>
        </w:rPr>
        <w:t xml:space="preserve">Source: Department for Education </w:t>
      </w:r>
      <w:r w:rsidRPr="00F66267">
        <w:rPr>
          <w:i/>
          <w:sz w:val="20"/>
          <w:szCs w:val="20"/>
        </w:rPr>
        <w:t xml:space="preserve">Get Information </w:t>
      </w:r>
      <w:proofErr w:type="gramStart"/>
      <w:r w:rsidRPr="00F66267">
        <w:rPr>
          <w:i/>
          <w:sz w:val="20"/>
          <w:szCs w:val="20"/>
        </w:rPr>
        <w:t>About</w:t>
      </w:r>
      <w:proofErr w:type="gramEnd"/>
      <w:r w:rsidRPr="00F66267">
        <w:rPr>
          <w:i/>
          <w:sz w:val="20"/>
          <w:szCs w:val="20"/>
        </w:rPr>
        <w:t xml:space="preserve"> Schools</w:t>
      </w:r>
      <w:r w:rsidRPr="00F66267">
        <w:rPr>
          <w:sz w:val="20"/>
          <w:szCs w:val="20"/>
        </w:rPr>
        <w:t xml:space="preserve"> service</w:t>
      </w:r>
    </w:p>
    <w:p w14:paraId="455FAA48" w14:textId="77777777" w:rsidR="00D91AAE" w:rsidRPr="00F66267" w:rsidRDefault="00D91AAE" w:rsidP="00D91AAE">
      <w:pPr>
        <w:rPr>
          <w:sz w:val="20"/>
          <w:szCs w:val="20"/>
        </w:rPr>
      </w:pPr>
    </w:p>
    <w:p w14:paraId="1A839502" w14:textId="77777777" w:rsidR="006B7CDA" w:rsidRPr="00F66267" w:rsidRDefault="00AA001B" w:rsidP="006B7CDA">
      <w:pPr>
        <w:pStyle w:val="Heading4"/>
        <w:rPr>
          <w:rFonts w:ascii="Calibri" w:hAnsi="Calibri" w:cs="Calibri"/>
          <w:sz w:val="20"/>
          <w:szCs w:val="20"/>
        </w:rPr>
      </w:pPr>
      <w:r w:rsidRPr="00F66267">
        <w:rPr>
          <w:rFonts w:ascii="Calibri" w:hAnsi="Calibri" w:cs="Calibri"/>
          <w:sz w:val="20"/>
          <w:szCs w:val="20"/>
        </w:rPr>
        <w:t>Inspection rating</w:t>
      </w:r>
    </w:p>
    <w:p w14:paraId="5BADEE9B" w14:textId="77777777" w:rsidR="00E64475" w:rsidRPr="00F66267" w:rsidRDefault="00AA001B" w:rsidP="006B7CDA">
      <w:pPr>
        <w:rPr>
          <w:sz w:val="20"/>
          <w:szCs w:val="20"/>
        </w:rPr>
      </w:pPr>
      <w:r w:rsidRPr="00F66267">
        <w:rPr>
          <w:sz w:val="20"/>
          <w:szCs w:val="20"/>
        </w:rPr>
        <w:t xml:space="preserve">Most recent Ofsted rating at the start of </w:t>
      </w:r>
      <w:r w:rsidR="00E64475" w:rsidRPr="00F66267">
        <w:rPr>
          <w:sz w:val="20"/>
          <w:szCs w:val="20"/>
        </w:rPr>
        <w:t>the academic year in question.</w:t>
      </w:r>
    </w:p>
    <w:p w14:paraId="31702CB4" w14:textId="1B576FA5" w:rsidR="00AA001B" w:rsidRPr="00F66267" w:rsidRDefault="00E64475" w:rsidP="006B7CDA">
      <w:pPr>
        <w:rPr>
          <w:sz w:val="20"/>
          <w:szCs w:val="20"/>
        </w:rPr>
      </w:pPr>
      <w:r w:rsidRPr="00F66267">
        <w:rPr>
          <w:sz w:val="20"/>
          <w:szCs w:val="20"/>
        </w:rPr>
        <w:t xml:space="preserve">Source: </w:t>
      </w:r>
      <w:hyperlink r:id="rId13" w:history="1">
        <w:r w:rsidR="00AA001B" w:rsidRPr="00F66267">
          <w:rPr>
            <w:rStyle w:val="Hyperlink"/>
            <w:sz w:val="20"/>
            <w:szCs w:val="20"/>
          </w:rPr>
          <w:t>Ofsted manageme</w:t>
        </w:r>
        <w:r w:rsidRPr="00F66267">
          <w:rPr>
            <w:rStyle w:val="Hyperlink"/>
            <w:sz w:val="20"/>
            <w:szCs w:val="20"/>
          </w:rPr>
          <w:t>nt information, 2009/10-2017/18</w:t>
        </w:r>
      </w:hyperlink>
    </w:p>
    <w:sectPr w:rsidR="00AA001B" w:rsidRPr="00F66267" w:rsidSect="003A144A">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40443" w14:textId="77777777" w:rsidR="0032205A" w:rsidRDefault="0032205A" w:rsidP="000F4E7E">
      <w:r>
        <w:separator/>
      </w:r>
    </w:p>
  </w:endnote>
  <w:endnote w:type="continuationSeparator" w:id="0">
    <w:p w14:paraId="72793412" w14:textId="77777777" w:rsidR="0032205A" w:rsidRDefault="0032205A" w:rsidP="000F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LT Std 55 Roman">
    <w:altName w:val="Malgun Gothic"/>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80768"/>
      <w:docPartObj>
        <w:docPartGallery w:val="Page Numbers (Bottom of Page)"/>
        <w:docPartUnique/>
      </w:docPartObj>
    </w:sdtPr>
    <w:sdtEndPr>
      <w:rPr>
        <w:noProof/>
      </w:rPr>
    </w:sdtEndPr>
    <w:sdtContent>
      <w:p w14:paraId="26F8875B" w14:textId="5D868CC5" w:rsidR="0073742B" w:rsidRDefault="0073742B">
        <w:pPr>
          <w:pStyle w:val="Footer"/>
          <w:jc w:val="center"/>
        </w:pPr>
        <w:r>
          <w:fldChar w:fldCharType="begin"/>
        </w:r>
        <w:r>
          <w:instrText xml:space="preserve"> PAGE   \* MERGEFORMAT </w:instrText>
        </w:r>
        <w:r>
          <w:fldChar w:fldCharType="separate"/>
        </w:r>
        <w:r w:rsidR="00724BB0">
          <w:rPr>
            <w:noProof/>
          </w:rPr>
          <w:t>2</w:t>
        </w:r>
        <w:r>
          <w:rPr>
            <w:noProof/>
          </w:rPr>
          <w:fldChar w:fldCharType="end"/>
        </w:r>
      </w:p>
    </w:sdtContent>
  </w:sdt>
  <w:p w14:paraId="12612B48" w14:textId="4C2AF4A7" w:rsidR="0073742B" w:rsidRDefault="0073742B" w:rsidP="006D15D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B38C3" w14:textId="77777777" w:rsidR="0032205A" w:rsidRDefault="0032205A" w:rsidP="000F4E7E">
      <w:r>
        <w:separator/>
      </w:r>
    </w:p>
  </w:footnote>
  <w:footnote w:type="continuationSeparator" w:id="0">
    <w:p w14:paraId="64F37A98" w14:textId="77777777" w:rsidR="0032205A" w:rsidRDefault="0032205A" w:rsidP="000F4E7E">
      <w:r>
        <w:continuationSeparator/>
      </w:r>
    </w:p>
  </w:footnote>
  <w:footnote w:id="1">
    <w:p w14:paraId="769074EF" w14:textId="77777777" w:rsidR="006D4ED3" w:rsidRPr="00F66267" w:rsidRDefault="006D4ED3" w:rsidP="006D4ED3">
      <w:pPr>
        <w:pStyle w:val="FootnoteText"/>
        <w:rPr>
          <w:sz w:val="18"/>
          <w:szCs w:val="18"/>
        </w:rPr>
      </w:pPr>
      <w:r w:rsidRPr="00F66267">
        <w:rPr>
          <w:rStyle w:val="FootnoteReference"/>
          <w:sz w:val="18"/>
          <w:szCs w:val="18"/>
        </w:rPr>
        <w:footnoteRef/>
      </w:r>
      <w:r w:rsidRPr="00F66267">
        <w:rPr>
          <w:sz w:val="18"/>
          <w:szCs w:val="18"/>
        </w:rPr>
        <w:t xml:space="preserve"> Throughout this report, years refer to year in which the academic year finished – that is, 2010 refers to 2009/10, for example.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5A3"/>
    <w:multiLevelType w:val="hybridMultilevel"/>
    <w:tmpl w:val="6AF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21337"/>
    <w:multiLevelType w:val="multilevel"/>
    <w:tmpl w:val="A568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80CFD"/>
    <w:multiLevelType w:val="hybridMultilevel"/>
    <w:tmpl w:val="D02A9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D3775"/>
    <w:multiLevelType w:val="hybridMultilevel"/>
    <w:tmpl w:val="637C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B7D45"/>
    <w:multiLevelType w:val="hybridMultilevel"/>
    <w:tmpl w:val="48C2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86491"/>
    <w:multiLevelType w:val="hybridMultilevel"/>
    <w:tmpl w:val="BDDC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F412B"/>
    <w:multiLevelType w:val="hybridMultilevel"/>
    <w:tmpl w:val="C05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E1326"/>
    <w:multiLevelType w:val="hybridMultilevel"/>
    <w:tmpl w:val="7398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D0E36"/>
    <w:multiLevelType w:val="hybridMultilevel"/>
    <w:tmpl w:val="78F02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47741"/>
    <w:multiLevelType w:val="hybridMultilevel"/>
    <w:tmpl w:val="9B34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D55D9"/>
    <w:multiLevelType w:val="hybridMultilevel"/>
    <w:tmpl w:val="78E20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642BD"/>
    <w:multiLevelType w:val="hybridMultilevel"/>
    <w:tmpl w:val="18B6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22692"/>
    <w:multiLevelType w:val="hybridMultilevel"/>
    <w:tmpl w:val="E8A0C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842D1"/>
    <w:multiLevelType w:val="hybridMultilevel"/>
    <w:tmpl w:val="0E62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E12E4"/>
    <w:multiLevelType w:val="hybridMultilevel"/>
    <w:tmpl w:val="EB14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87DF3"/>
    <w:multiLevelType w:val="hybridMultilevel"/>
    <w:tmpl w:val="6D72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2C2981"/>
    <w:multiLevelType w:val="hybridMultilevel"/>
    <w:tmpl w:val="EB48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E753C"/>
    <w:multiLevelType w:val="hybridMultilevel"/>
    <w:tmpl w:val="A42C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8673A"/>
    <w:multiLevelType w:val="hybridMultilevel"/>
    <w:tmpl w:val="BCBC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A6074B"/>
    <w:multiLevelType w:val="hybridMultilevel"/>
    <w:tmpl w:val="32A40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E0B70"/>
    <w:multiLevelType w:val="hybridMultilevel"/>
    <w:tmpl w:val="174A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E2CA6"/>
    <w:multiLevelType w:val="hybridMultilevel"/>
    <w:tmpl w:val="2B98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D72F4B"/>
    <w:multiLevelType w:val="hybridMultilevel"/>
    <w:tmpl w:val="168A2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F6B19CE"/>
    <w:multiLevelType w:val="hybridMultilevel"/>
    <w:tmpl w:val="77F8C7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2"/>
  </w:num>
  <w:num w:numId="2">
    <w:abstractNumId w:val="14"/>
  </w:num>
  <w:num w:numId="3">
    <w:abstractNumId w:val="3"/>
  </w:num>
  <w:num w:numId="4">
    <w:abstractNumId w:val="10"/>
  </w:num>
  <w:num w:numId="5">
    <w:abstractNumId w:val="21"/>
  </w:num>
  <w:num w:numId="6">
    <w:abstractNumId w:val="20"/>
  </w:num>
  <w:num w:numId="7">
    <w:abstractNumId w:val="7"/>
  </w:num>
  <w:num w:numId="8">
    <w:abstractNumId w:val="19"/>
  </w:num>
  <w:num w:numId="9">
    <w:abstractNumId w:val="16"/>
  </w:num>
  <w:num w:numId="10">
    <w:abstractNumId w:val="9"/>
  </w:num>
  <w:num w:numId="11">
    <w:abstractNumId w:val="8"/>
  </w:num>
  <w:num w:numId="12">
    <w:abstractNumId w:val="13"/>
  </w:num>
  <w:num w:numId="13">
    <w:abstractNumId w:val="0"/>
  </w:num>
  <w:num w:numId="14">
    <w:abstractNumId w:val="6"/>
  </w:num>
  <w:num w:numId="15">
    <w:abstractNumId w:val="22"/>
  </w:num>
  <w:num w:numId="16">
    <w:abstractNumId w:val="12"/>
  </w:num>
  <w:num w:numId="17">
    <w:abstractNumId w:val="2"/>
  </w:num>
  <w:num w:numId="18">
    <w:abstractNumId w:val="5"/>
  </w:num>
  <w:num w:numId="19">
    <w:abstractNumId w:val="4"/>
  </w:num>
  <w:num w:numId="20">
    <w:abstractNumId w:val="11"/>
  </w:num>
  <w:num w:numId="21">
    <w:abstractNumId w:val="15"/>
  </w:num>
  <w:num w:numId="22">
    <w:abstractNumId w:val="1"/>
  </w:num>
  <w:num w:numId="23">
    <w:abstractNumId w:val="18"/>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13"/>
    <w:rsid w:val="00000C5E"/>
    <w:rsid w:val="00012858"/>
    <w:rsid w:val="00013D8B"/>
    <w:rsid w:val="000148F3"/>
    <w:rsid w:val="000340CD"/>
    <w:rsid w:val="0004487C"/>
    <w:rsid w:val="00072460"/>
    <w:rsid w:val="00075BFB"/>
    <w:rsid w:val="000B14CB"/>
    <w:rsid w:val="000B4279"/>
    <w:rsid w:val="000B69BD"/>
    <w:rsid w:val="000B6E49"/>
    <w:rsid w:val="000D2107"/>
    <w:rsid w:val="000F4E7E"/>
    <w:rsid w:val="0012135E"/>
    <w:rsid w:val="00133D29"/>
    <w:rsid w:val="00146593"/>
    <w:rsid w:val="001507B3"/>
    <w:rsid w:val="00151F07"/>
    <w:rsid w:val="00167ADC"/>
    <w:rsid w:val="00170639"/>
    <w:rsid w:val="001A160D"/>
    <w:rsid w:val="001A569D"/>
    <w:rsid w:val="001A6913"/>
    <w:rsid w:val="001B5FF3"/>
    <w:rsid w:val="001D61D8"/>
    <w:rsid w:val="001F6950"/>
    <w:rsid w:val="00201A9C"/>
    <w:rsid w:val="0020389E"/>
    <w:rsid w:val="00215B77"/>
    <w:rsid w:val="00216499"/>
    <w:rsid w:val="002236E5"/>
    <w:rsid w:val="002238D8"/>
    <w:rsid w:val="00225A57"/>
    <w:rsid w:val="00265F50"/>
    <w:rsid w:val="002A5FCC"/>
    <w:rsid w:val="002A7375"/>
    <w:rsid w:val="002B29E9"/>
    <w:rsid w:val="002C0BA3"/>
    <w:rsid w:val="002C4366"/>
    <w:rsid w:val="002C77B0"/>
    <w:rsid w:val="002E063A"/>
    <w:rsid w:val="002E60FC"/>
    <w:rsid w:val="002F04E4"/>
    <w:rsid w:val="002F7867"/>
    <w:rsid w:val="00312DEA"/>
    <w:rsid w:val="0032205A"/>
    <w:rsid w:val="0032419B"/>
    <w:rsid w:val="00344980"/>
    <w:rsid w:val="00350AF9"/>
    <w:rsid w:val="00360E04"/>
    <w:rsid w:val="00362625"/>
    <w:rsid w:val="003812A1"/>
    <w:rsid w:val="0038626D"/>
    <w:rsid w:val="00391AFE"/>
    <w:rsid w:val="003A144A"/>
    <w:rsid w:val="003A441D"/>
    <w:rsid w:val="003B78CE"/>
    <w:rsid w:val="003D3477"/>
    <w:rsid w:val="003D7154"/>
    <w:rsid w:val="003D7976"/>
    <w:rsid w:val="003F5BBB"/>
    <w:rsid w:val="004331C8"/>
    <w:rsid w:val="00480DEB"/>
    <w:rsid w:val="00481529"/>
    <w:rsid w:val="004857ED"/>
    <w:rsid w:val="004D4860"/>
    <w:rsid w:val="00501FCC"/>
    <w:rsid w:val="00525CA5"/>
    <w:rsid w:val="005261CC"/>
    <w:rsid w:val="00531955"/>
    <w:rsid w:val="00532300"/>
    <w:rsid w:val="00546AAA"/>
    <w:rsid w:val="005529CC"/>
    <w:rsid w:val="0056173B"/>
    <w:rsid w:val="005A4EE8"/>
    <w:rsid w:val="005A6FB3"/>
    <w:rsid w:val="005C118C"/>
    <w:rsid w:val="005C3022"/>
    <w:rsid w:val="005E3034"/>
    <w:rsid w:val="00600741"/>
    <w:rsid w:val="0062037C"/>
    <w:rsid w:val="006224FD"/>
    <w:rsid w:val="00624088"/>
    <w:rsid w:val="006270BA"/>
    <w:rsid w:val="00630CC1"/>
    <w:rsid w:val="00660875"/>
    <w:rsid w:val="00682032"/>
    <w:rsid w:val="00693F8C"/>
    <w:rsid w:val="006B7CDA"/>
    <w:rsid w:val="006C57C2"/>
    <w:rsid w:val="006D15DA"/>
    <w:rsid w:val="006D4ED3"/>
    <w:rsid w:val="006E461B"/>
    <w:rsid w:val="006F7176"/>
    <w:rsid w:val="007150BE"/>
    <w:rsid w:val="00724BB0"/>
    <w:rsid w:val="0072795E"/>
    <w:rsid w:val="00735D8C"/>
    <w:rsid w:val="00736465"/>
    <w:rsid w:val="0073742B"/>
    <w:rsid w:val="00767AC1"/>
    <w:rsid w:val="00780296"/>
    <w:rsid w:val="007A6A2A"/>
    <w:rsid w:val="007B40CD"/>
    <w:rsid w:val="007C3F9F"/>
    <w:rsid w:val="007E357A"/>
    <w:rsid w:val="007F7261"/>
    <w:rsid w:val="0080038F"/>
    <w:rsid w:val="00803A18"/>
    <w:rsid w:val="00811D0E"/>
    <w:rsid w:val="00823D31"/>
    <w:rsid w:val="008446E5"/>
    <w:rsid w:val="0085774E"/>
    <w:rsid w:val="008725E3"/>
    <w:rsid w:val="008831BC"/>
    <w:rsid w:val="00892E6F"/>
    <w:rsid w:val="008A1B00"/>
    <w:rsid w:val="008B2A19"/>
    <w:rsid w:val="008C6F41"/>
    <w:rsid w:val="008D066F"/>
    <w:rsid w:val="008D2BB4"/>
    <w:rsid w:val="008E7650"/>
    <w:rsid w:val="008F4199"/>
    <w:rsid w:val="00937BEC"/>
    <w:rsid w:val="009833BE"/>
    <w:rsid w:val="00996560"/>
    <w:rsid w:val="009B2399"/>
    <w:rsid w:val="009B6F06"/>
    <w:rsid w:val="009F6389"/>
    <w:rsid w:val="009F6E00"/>
    <w:rsid w:val="00A04D9B"/>
    <w:rsid w:val="00A1207D"/>
    <w:rsid w:val="00A2238F"/>
    <w:rsid w:val="00A35D04"/>
    <w:rsid w:val="00A4160C"/>
    <w:rsid w:val="00A67110"/>
    <w:rsid w:val="00AA001B"/>
    <w:rsid w:val="00AA121B"/>
    <w:rsid w:val="00AA4FDA"/>
    <w:rsid w:val="00AB0BE3"/>
    <w:rsid w:val="00AB40F4"/>
    <w:rsid w:val="00AD060E"/>
    <w:rsid w:val="00AF44DB"/>
    <w:rsid w:val="00AF5EAA"/>
    <w:rsid w:val="00B0193E"/>
    <w:rsid w:val="00B01A55"/>
    <w:rsid w:val="00B140A7"/>
    <w:rsid w:val="00B24A13"/>
    <w:rsid w:val="00B4688C"/>
    <w:rsid w:val="00B60343"/>
    <w:rsid w:val="00B62C77"/>
    <w:rsid w:val="00B76BE4"/>
    <w:rsid w:val="00B818DE"/>
    <w:rsid w:val="00B86037"/>
    <w:rsid w:val="00B87CBF"/>
    <w:rsid w:val="00BA3FB7"/>
    <w:rsid w:val="00BC2A94"/>
    <w:rsid w:val="00BF469D"/>
    <w:rsid w:val="00C02DA7"/>
    <w:rsid w:val="00C112A1"/>
    <w:rsid w:val="00C31937"/>
    <w:rsid w:val="00C47C0D"/>
    <w:rsid w:val="00C53F9F"/>
    <w:rsid w:val="00C85D4B"/>
    <w:rsid w:val="00C87E44"/>
    <w:rsid w:val="00CC2619"/>
    <w:rsid w:val="00CE4A8C"/>
    <w:rsid w:val="00CF10E1"/>
    <w:rsid w:val="00CF131E"/>
    <w:rsid w:val="00CF5B19"/>
    <w:rsid w:val="00D41D06"/>
    <w:rsid w:val="00D660A0"/>
    <w:rsid w:val="00D71963"/>
    <w:rsid w:val="00D91AAE"/>
    <w:rsid w:val="00D9701F"/>
    <w:rsid w:val="00DB7231"/>
    <w:rsid w:val="00DB7F74"/>
    <w:rsid w:val="00E109F7"/>
    <w:rsid w:val="00E10E41"/>
    <w:rsid w:val="00E3258C"/>
    <w:rsid w:val="00E474C4"/>
    <w:rsid w:val="00E64475"/>
    <w:rsid w:val="00E74C09"/>
    <w:rsid w:val="00EA5DD4"/>
    <w:rsid w:val="00EB40BC"/>
    <w:rsid w:val="00EC50B1"/>
    <w:rsid w:val="00ED1EF1"/>
    <w:rsid w:val="00ED26BF"/>
    <w:rsid w:val="00F041F1"/>
    <w:rsid w:val="00F13190"/>
    <w:rsid w:val="00F16E02"/>
    <w:rsid w:val="00F45FBA"/>
    <w:rsid w:val="00F66267"/>
    <w:rsid w:val="00F85760"/>
    <w:rsid w:val="00F947C7"/>
    <w:rsid w:val="00F96466"/>
    <w:rsid w:val="00F97B7C"/>
    <w:rsid w:val="00FB6B5C"/>
    <w:rsid w:val="00FC6AE4"/>
    <w:rsid w:val="00FC6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62141"/>
  <w15:chartTrackingRefBased/>
  <w15:docId w15:val="{70E9D21D-600F-45D2-A065-D26CD47B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913"/>
    <w:pPr>
      <w:spacing w:after="0" w:line="240" w:lineRule="auto"/>
    </w:pPr>
    <w:rPr>
      <w:rFonts w:ascii="Calibri" w:hAnsi="Calibri" w:cs="Calibri"/>
    </w:rPr>
  </w:style>
  <w:style w:type="paragraph" w:styleId="Heading1">
    <w:name w:val="heading 1"/>
    <w:basedOn w:val="Normal"/>
    <w:next w:val="Normal"/>
    <w:link w:val="Heading1Char"/>
    <w:uiPriority w:val="9"/>
    <w:qFormat/>
    <w:rsid w:val="00000C5E"/>
    <w:pPr>
      <w:keepNext/>
      <w:keepLines/>
      <w:spacing w:before="240"/>
      <w:outlineLvl w:val="0"/>
    </w:pPr>
    <w:rPr>
      <w:rFonts w:asciiTheme="majorHAnsi" w:eastAsiaTheme="majorEastAsia" w:hAnsiTheme="majorHAnsi" w:cstheme="majorBidi"/>
      <w:color w:val="AC005D" w:themeColor="accent1" w:themeShade="BF"/>
      <w:sz w:val="32"/>
      <w:szCs w:val="32"/>
    </w:rPr>
  </w:style>
  <w:style w:type="paragraph" w:styleId="Heading2">
    <w:name w:val="heading 2"/>
    <w:basedOn w:val="Normal"/>
    <w:next w:val="Normal"/>
    <w:link w:val="Heading2Char"/>
    <w:uiPriority w:val="9"/>
    <w:unhideWhenUsed/>
    <w:qFormat/>
    <w:rsid w:val="00000C5E"/>
    <w:pPr>
      <w:keepNext/>
      <w:keepLines/>
      <w:spacing w:before="40"/>
      <w:outlineLvl w:val="1"/>
    </w:pPr>
    <w:rPr>
      <w:rFonts w:asciiTheme="majorHAnsi" w:eastAsiaTheme="majorEastAsia" w:hAnsiTheme="majorHAnsi" w:cstheme="majorBidi"/>
      <w:color w:val="AC005D" w:themeColor="accent1" w:themeShade="BF"/>
      <w:sz w:val="26"/>
      <w:szCs w:val="26"/>
    </w:rPr>
  </w:style>
  <w:style w:type="paragraph" w:styleId="Heading3">
    <w:name w:val="heading 3"/>
    <w:basedOn w:val="Normal"/>
    <w:next w:val="Normal"/>
    <w:link w:val="Heading3Char"/>
    <w:uiPriority w:val="9"/>
    <w:unhideWhenUsed/>
    <w:qFormat/>
    <w:rsid w:val="00000C5E"/>
    <w:pPr>
      <w:keepNext/>
      <w:keepLines/>
      <w:spacing w:before="40"/>
      <w:outlineLvl w:val="2"/>
    </w:pPr>
    <w:rPr>
      <w:rFonts w:asciiTheme="majorHAnsi" w:eastAsiaTheme="majorEastAsia" w:hAnsiTheme="majorHAnsi" w:cstheme="majorBidi"/>
      <w:color w:val="72003E" w:themeColor="accent1" w:themeShade="7F"/>
      <w:sz w:val="24"/>
      <w:szCs w:val="24"/>
    </w:rPr>
  </w:style>
  <w:style w:type="paragraph" w:styleId="Heading4">
    <w:name w:val="heading 4"/>
    <w:basedOn w:val="Normal"/>
    <w:next w:val="Normal"/>
    <w:link w:val="Heading4Char"/>
    <w:uiPriority w:val="9"/>
    <w:unhideWhenUsed/>
    <w:qFormat/>
    <w:rsid w:val="00000C5E"/>
    <w:pPr>
      <w:keepNext/>
      <w:keepLines/>
      <w:spacing w:before="40"/>
      <w:outlineLvl w:val="3"/>
    </w:pPr>
    <w:rPr>
      <w:rFonts w:asciiTheme="majorHAnsi" w:eastAsiaTheme="majorEastAsia" w:hAnsiTheme="majorHAnsi" w:cstheme="majorBidi"/>
      <w:i/>
      <w:iCs/>
      <w:color w:val="AC005D" w:themeColor="accent1" w:themeShade="BF"/>
    </w:rPr>
  </w:style>
  <w:style w:type="paragraph" w:styleId="Heading5">
    <w:name w:val="heading 5"/>
    <w:basedOn w:val="Normal"/>
    <w:next w:val="Normal"/>
    <w:link w:val="Heading5Char"/>
    <w:uiPriority w:val="9"/>
    <w:unhideWhenUsed/>
    <w:qFormat/>
    <w:rsid w:val="00000C5E"/>
    <w:pPr>
      <w:keepNext/>
      <w:keepLines/>
      <w:spacing w:before="40"/>
      <w:outlineLvl w:val="4"/>
    </w:pPr>
    <w:rPr>
      <w:rFonts w:asciiTheme="majorHAnsi" w:eastAsiaTheme="majorEastAsia" w:hAnsiTheme="majorHAnsi" w:cstheme="majorBidi"/>
      <w:color w:val="AC005D" w:themeColor="accent1" w:themeShade="BF"/>
    </w:rPr>
  </w:style>
  <w:style w:type="paragraph" w:styleId="Heading6">
    <w:name w:val="heading 6"/>
    <w:basedOn w:val="Normal"/>
    <w:next w:val="Normal"/>
    <w:link w:val="Heading6Char"/>
    <w:uiPriority w:val="9"/>
    <w:unhideWhenUsed/>
    <w:qFormat/>
    <w:rsid w:val="00000C5E"/>
    <w:pPr>
      <w:keepNext/>
      <w:keepLines/>
      <w:spacing w:before="40"/>
      <w:outlineLvl w:val="5"/>
    </w:pPr>
    <w:rPr>
      <w:rFonts w:asciiTheme="majorHAnsi" w:eastAsiaTheme="majorEastAsia" w:hAnsiTheme="majorHAnsi" w:cstheme="majorBidi"/>
      <w:color w:val="72003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9BD"/>
    <w:pPr>
      <w:ind w:left="720"/>
      <w:contextualSpacing/>
    </w:pPr>
    <w:rPr>
      <w:rFonts w:cs="Times New Roman"/>
    </w:rPr>
  </w:style>
  <w:style w:type="character" w:customStyle="1" w:styleId="Heading1Char">
    <w:name w:val="Heading 1 Char"/>
    <w:basedOn w:val="DefaultParagraphFont"/>
    <w:link w:val="Heading1"/>
    <w:uiPriority w:val="9"/>
    <w:rsid w:val="00000C5E"/>
    <w:rPr>
      <w:rFonts w:asciiTheme="majorHAnsi" w:eastAsiaTheme="majorEastAsia" w:hAnsiTheme="majorHAnsi" w:cstheme="majorBidi"/>
      <w:color w:val="AC005D" w:themeColor="accent1" w:themeShade="BF"/>
      <w:sz w:val="32"/>
      <w:szCs w:val="32"/>
    </w:rPr>
  </w:style>
  <w:style w:type="character" w:customStyle="1" w:styleId="Heading2Char">
    <w:name w:val="Heading 2 Char"/>
    <w:basedOn w:val="DefaultParagraphFont"/>
    <w:link w:val="Heading2"/>
    <w:uiPriority w:val="9"/>
    <w:rsid w:val="00000C5E"/>
    <w:rPr>
      <w:rFonts w:asciiTheme="majorHAnsi" w:eastAsiaTheme="majorEastAsia" w:hAnsiTheme="majorHAnsi" w:cstheme="majorBidi"/>
      <w:color w:val="AC005D" w:themeColor="accent1" w:themeShade="BF"/>
      <w:sz w:val="26"/>
      <w:szCs w:val="26"/>
    </w:rPr>
  </w:style>
  <w:style w:type="character" w:customStyle="1" w:styleId="Heading3Char">
    <w:name w:val="Heading 3 Char"/>
    <w:basedOn w:val="DefaultParagraphFont"/>
    <w:link w:val="Heading3"/>
    <w:uiPriority w:val="9"/>
    <w:rsid w:val="00000C5E"/>
    <w:rPr>
      <w:rFonts w:asciiTheme="majorHAnsi" w:eastAsiaTheme="majorEastAsia" w:hAnsiTheme="majorHAnsi" w:cstheme="majorBidi"/>
      <w:color w:val="72003E" w:themeColor="accent1" w:themeShade="7F"/>
      <w:sz w:val="24"/>
      <w:szCs w:val="24"/>
    </w:rPr>
  </w:style>
  <w:style w:type="character" w:customStyle="1" w:styleId="Heading4Char">
    <w:name w:val="Heading 4 Char"/>
    <w:basedOn w:val="DefaultParagraphFont"/>
    <w:link w:val="Heading4"/>
    <w:uiPriority w:val="9"/>
    <w:rsid w:val="00000C5E"/>
    <w:rPr>
      <w:rFonts w:asciiTheme="majorHAnsi" w:eastAsiaTheme="majorEastAsia" w:hAnsiTheme="majorHAnsi" w:cstheme="majorBidi"/>
      <w:i/>
      <w:iCs/>
      <w:color w:val="AC005D" w:themeColor="accent1" w:themeShade="BF"/>
    </w:rPr>
  </w:style>
  <w:style w:type="character" w:customStyle="1" w:styleId="Heading5Char">
    <w:name w:val="Heading 5 Char"/>
    <w:basedOn w:val="DefaultParagraphFont"/>
    <w:link w:val="Heading5"/>
    <w:uiPriority w:val="9"/>
    <w:rsid w:val="00000C5E"/>
    <w:rPr>
      <w:rFonts w:asciiTheme="majorHAnsi" w:eastAsiaTheme="majorEastAsia" w:hAnsiTheme="majorHAnsi" w:cstheme="majorBidi"/>
      <w:color w:val="AC005D" w:themeColor="accent1" w:themeShade="BF"/>
    </w:rPr>
  </w:style>
  <w:style w:type="character" w:customStyle="1" w:styleId="Heading6Char">
    <w:name w:val="Heading 6 Char"/>
    <w:basedOn w:val="DefaultParagraphFont"/>
    <w:link w:val="Heading6"/>
    <w:uiPriority w:val="9"/>
    <w:rsid w:val="00000C5E"/>
    <w:rPr>
      <w:rFonts w:asciiTheme="majorHAnsi" w:eastAsiaTheme="majorEastAsia" w:hAnsiTheme="majorHAnsi" w:cstheme="majorBidi"/>
      <w:color w:val="72003E" w:themeColor="accent1" w:themeShade="7F"/>
    </w:rPr>
  </w:style>
  <w:style w:type="character" w:styleId="Hyperlink">
    <w:name w:val="Hyperlink"/>
    <w:basedOn w:val="DefaultParagraphFont"/>
    <w:uiPriority w:val="99"/>
    <w:unhideWhenUsed/>
    <w:rsid w:val="008725E3"/>
    <w:rPr>
      <w:color w:val="E6007E" w:themeColor="hyperlink"/>
      <w:u w:val="single"/>
    </w:rPr>
  </w:style>
  <w:style w:type="character" w:styleId="CommentReference">
    <w:name w:val="annotation reference"/>
    <w:basedOn w:val="DefaultParagraphFont"/>
    <w:uiPriority w:val="99"/>
    <w:semiHidden/>
    <w:unhideWhenUsed/>
    <w:rsid w:val="00201A9C"/>
    <w:rPr>
      <w:sz w:val="16"/>
      <w:szCs w:val="16"/>
    </w:rPr>
  </w:style>
  <w:style w:type="paragraph" w:styleId="CommentText">
    <w:name w:val="annotation text"/>
    <w:basedOn w:val="Normal"/>
    <w:link w:val="CommentTextChar"/>
    <w:uiPriority w:val="99"/>
    <w:semiHidden/>
    <w:unhideWhenUsed/>
    <w:rsid w:val="00201A9C"/>
    <w:rPr>
      <w:sz w:val="20"/>
      <w:szCs w:val="20"/>
    </w:rPr>
  </w:style>
  <w:style w:type="character" w:customStyle="1" w:styleId="CommentTextChar">
    <w:name w:val="Comment Text Char"/>
    <w:basedOn w:val="DefaultParagraphFont"/>
    <w:link w:val="CommentText"/>
    <w:uiPriority w:val="99"/>
    <w:semiHidden/>
    <w:rsid w:val="00201A9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01A9C"/>
    <w:rPr>
      <w:b/>
      <w:bCs/>
    </w:rPr>
  </w:style>
  <w:style w:type="character" w:customStyle="1" w:styleId="CommentSubjectChar">
    <w:name w:val="Comment Subject Char"/>
    <w:basedOn w:val="CommentTextChar"/>
    <w:link w:val="CommentSubject"/>
    <w:uiPriority w:val="99"/>
    <w:semiHidden/>
    <w:rsid w:val="00201A9C"/>
    <w:rPr>
      <w:rFonts w:ascii="Calibri" w:hAnsi="Calibri" w:cs="Calibri"/>
      <w:b/>
      <w:bCs/>
      <w:sz w:val="20"/>
      <w:szCs w:val="20"/>
    </w:rPr>
  </w:style>
  <w:style w:type="paragraph" w:styleId="BalloonText">
    <w:name w:val="Balloon Text"/>
    <w:basedOn w:val="Normal"/>
    <w:link w:val="BalloonTextChar"/>
    <w:uiPriority w:val="99"/>
    <w:semiHidden/>
    <w:unhideWhenUsed/>
    <w:rsid w:val="00201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A9C"/>
    <w:rPr>
      <w:rFonts w:ascii="Segoe UI" w:hAnsi="Segoe UI" w:cs="Segoe UI"/>
      <w:sz w:val="18"/>
      <w:szCs w:val="18"/>
    </w:rPr>
  </w:style>
  <w:style w:type="character" w:styleId="FollowedHyperlink">
    <w:name w:val="FollowedHyperlink"/>
    <w:basedOn w:val="DefaultParagraphFont"/>
    <w:uiPriority w:val="99"/>
    <w:semiHidden/>
    <w:unhideWhenUsed/>
    <w:rsid w:val="009833BE"/>
    <w:rPr>
      <w:color w:val="AC005E" w:themeColor="followedHyperlink"/>
      <w:u w:val="single"/>
    </w:rPr>
  </w:style>
  <w:style w:type="table" w:styleId="TableGrid">
    <w:name w:val="Table Grid"/>
    <w:basedOn w:val="TableNormal"/>
    <w:uiPriority w:val="39"/>
    <w:rsid w:val="000F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F4E7E"/>
    <w:rPr>
      <w:sz w:val="20"/>
      <w:szCs w:val="20"/>
    </w:rPr>
  </w:style>
  <w:style w:type="character" w:customStyle="1" w:styleId="FootnoteTextChar">
    <w:name w:val="Footnote Text Char"/>
    <w:basedOn w:val="DefaultParagraphFont"/>
    <w:link w:val="FootnoteText"/>
    <w:uiPriority w:val="99"/>
    <w:rsid w:val="000F4E7E"/>
    <w:rPr>
      <w:rFonts w:ascii="Calibri" w:hAnsi="Calibri" w:cs="Calibri"/>
      <w:sz w:val="20"/>
      <w:szCs w:val="20"/>
    </w:rPr>
  </w:style>
  <w:style w:type="character" w:styleId="FootnoteReference">
    <w:name w:val="footnote reference"/>
    <w:basedOn w:val="DefaultParagraphFont"/>
    <w:uiPriority w:val="99"/>
    <w:semiHidden/>
    <w:unhideWhenUsed/>
    <w:rsid w:val="000F4E7E"/>
    <w:rPr>
      <w:vertAlign w:val="superscript"/>
    </w:rPr>
  </w:style>
  <w:style w:type="paragraph" w:styleId="Header">
    <w:name w:val="header"/>
    <w:basedOn w:val="Normal"/>
    <w:link w:val="HeaderChar"/>
    <w:uiPriority w:val="99"/>
    <w:unhideWhenUsed/>
    <w:rsid w:val="00F85760"/>
    <w:pPr>
      <w:tabs>
        <w:tab w:val="center" w:pos="4513"/>
        <w:tab w:val="right" w:pos="9026"/>
      </w:tabs>
    </w:pPr>
  </w:style>
  <w:style w:type="character" w:customStyle="1" w:styleId="HeaderChar">
    <w:name w:val="Header Char"/>
    <w:basedOn w:val="DefaultParagraphFont"/>
    <w:link w:val="Header"/>
    <w:uiPriority w:val="99"/>
    <w:rsid w:val="00F85760"/>
    <w:rPr>
      <w:rFonts w:ascii="Calibri" w:hAnsi="Calibri" w:cs="Calibri"/>
    </w:rPr>
  </w:style>
  <w:style w:type="paragraph" w:styleId="Footer">
    <w:name w:val="footer"/>
    <w:basedOn w:val="Normal"/>
    <w:link w:val="FooterChar"/>
    <w:uiPriority w:val="99"/>
    <w:unhideWhenUsed/>
    <w:rsid w:val="00F85760"/>
    <w:pPr>
      <w:tabs>
        <w:tab w:val="center" w:pos="4513"/>
        <w:tab w:val="right" w:pos="9026"/>
      </w:tabs>
    </w:pPr>
  </w:style>
  <w:style w:type="character" w:customStyle="1" w:styleId="FooterChar">
    <w:name w:val="Footer Char"/>
    <w:basedOn w:val="DefaultParagraphFont"/>
    <w:link w:val="Footer"/>
    <w:uiPriority w:val="99"/>
    <w:rsid w:val="00F85760"/>
    <w:rPr>
      <w:rFonts w:ascii="Calibri" w:hAnsi="Calibri" w:cs="Calibri"/>
    </w:rPr>
  </w:style>
  <w:style w:type="paragraph" w:styleId="Revision">
    <w:name w:val="Revision"/>
    <w:hidden/>
    <w:uiPriority w:val="99"/>
    <w:semiHidden/>
    <w:rsid w:val="0007246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3822">
      <w:bodyDiv w:val="1"/>
      <w:marLeft w:val="0"/>
      <w:marRight w:val="0"/>
      <w:marTop w:val="0"/>
      <w:marBottom w:val="0"/>
      <w:divBdr>
        <w:top w:val="none" w:sz="0" w:space="0" w:color="auto"/>
        <w:left w:val="none" w:sz="0" w:space="0" w:color="auto"/>
        <w:bottom w:val="none" w:sz="0" w:space="0" w:color="auto"/>
        <w:right w:val="none" w:sz="0" w:space="0" w:color="auto"/>
      </w:divBdr>
    </w:div>
    <w:div w:id="192887531">
      <w:bodyDiv w:val="1"/>
      <w:marLeft w:val="0"/>
      <w:marRight w:val="0"/>
      <w:marTop w:val="0"/>
      <w:marBottom w:val="0"/>
      <w:divBdr>
        <w:top w:val="none" w:sz="0" w:space="0" w:color="auto"/>
        <w:left w:val="none" w:sz="0" w:space="0" w:color="auto"/>
        <w:bottom w:val="none" w:sz="0" w:space="0" w:color="auto"/>
        <w:right w:val="none" w:sz="0" w:space="0" w:color="auto"/>
      </w:divBdr>
    </w:div>
    <w:div w:id="216280677">
      <w:bodyDiv w:val="1"/>
      <w:marLeft w:val="0"/>
      <w:marRight w:val="0"/>
      <w:marTop w:val="0"/>
      <w:marBottom w:val="0"/>
      <w:divBdr>
        <w:top w:val="none" w:sz="0" w:space="0" w:color="auto"/>
        <w:left w:val="none" w:sz="0" w:space="0" w:color="auto"/>
        <w:bottom w:val="none" w:sz="0" w:space="0" w:color="auto"/>
        <w:right w:val="none" w:sz="0" w:space="0" w:color="auto"/>
      </w:divBdr>
    </w:div>
    <w:div w:id="329329337">
      <w:bodyDiv w:val="1"/>
      <w:marLeft w:val="0"/>
      <w:marRight w:val="0"/>
      <w:marTop w:val="0"/>
      <w:marBottom w:val="0"/>
      <w:divBdr>
        <w:top w:val="none" w:sz="0" w:space="0" w:color="auto"/>
        <w:left w:val="none" w:sz="0" w:space="0" w:color="auto"/>
        <w:bottom w:val="none" w:sz="0" w:space="0" w:color="auto"/>
        <w:right w:val="none" w:sz="0" w:space="0" w:color="auto"/>
      </w:divBdr>
    </w:div>
    <w:div w:id="507789630">
      <w:bodyDiv w:val="1"/>
      <w:marLeft w:val="0"/>
      <w:marRight w:val="0"/>
      <w:marTop w:val="0"/>
      <w:marBottom w:val="0"/>
      <w:divBdr>
        <w:top w:val="none" w:sz="0" w:space="0" w:color="auto"/>
        <w:left w:val="none" w:sz="0" w:space="0" w:color="auto"/>
        <w:bottom w:val="none" w:sz="0" w:space="0" w:color="auto"/>
        <w:right w:val="none" w:sz="0" w:space="0" w:color="auto"/>
      </w:divBdr>
    </w:div>
    <w:div w:id="509686036">
      <w:bodyDiv w:val="1"/>
      <w:marLeft w:val="0"/>
      <w:marRight w:val="0"/>
      <w:marTop w:val="0"/>
      <w:marBottom w:val="0"/>
      <w:divBdr>
        <w:top w:val="none" w:sz="0" w:space="0" w:color="auto"/>
        <w:left w:val="none" w:sz="0" w:space="0" w:color="auto"/>
        <w:bottom w:val="none" w:sz="0" w:space="0" w:color="auto"/>
        <w:right w:val="none" w:sz="0" w:space="0" w:color="auto"/>
      </w:divBdr>
    </w:div>
    <w:div w:id="598756579">
      <w:bodyDiv w:val="1"/>
      <w:marLeft w:val="0"/>
      <w:marRight w:val="0"/>
      <w:marTop w:val="0"/>
      <w:marBottom w:val="0"/>
      <w:divBdr>
        <w:top w:val="none" w:sz="0" w:space="0" w:color="auto"/>
        <w:left w:val="none" w:sz="0" w:space="0" w:color="auto"/>
        <w:bottom w:val="none" w:sz="0" w:space="0" w:color="auto"/>
        <w:right w:val="none" w:sz="0" w:space="0" w:color="auto"/>
      </w:divBdr>
    </w:div>
    <w:div w:id="600842900">
      <w:bodyDiv w:val="1"/>
      <w:marLeft w:val="0"/>
      <w:marRight w:val="0"/>
      <w:marTop w:val="0"/>
      <w:marBottom w:val="0"/>
      <w:divBdr>
        <w:top w:val="none" w:sz="0" w:space="0" w:color="auto"/>
        <w:left w:val="none" w:sz="0" w:space="0" w:color="auto"/>
        <w:bottom w:val="none" w:sz="0" w:space="0" w:color="auto"/>
        <w:right w:val="none" w:sz="0" w:space="0" w:color="auto"/>
      </w:divBdr>
    </w:div>
    <w:div w:id="733427742">
      <w:bodyDiv w:val="1"/>
      <w:marLeft w:val="0"/>
      <w:marRight w:val="0"/>
      <w:marTop w:val="0"/>
      <w:marBottom w:val="0"/>
      <w:divBdr>
        <w:top w:val="none" w:sz="0" w:space="0" w:color="auto"/>
        <w:left w:val="none" w:sz="0" w:space="0" w:color="auto"/>
        <w:bottom w:val="none" w:sz="0" w:space="0" w:color="auto"/>
        <w:right w:val="none" w:sz="0" w:space="0" w:color="auto"/>
      </w:divBdr>
    </w:div>
    <w:div w:id="760414318">
      <w:bodyDiv w:val="1"/>
      <w:marLeft w:val="0"/>
      <w:marRight w:val="0"/>
      <w:marTop w:val="0"/>
      <w:marBottom w:val="0"/>
      <w:divBdr>
        <w:top w:val="none" w:sz="0" w:space="0" w:color="auto"/>
        <w:left w:val="none" w:sz="0" w:space="0" w:color="auto"/>
        <w:bottom w:val="none" w:sz="0" w:space="0" w:color="auto"/>
        <w:right w:val="none" w:sz="0" w:space="0" w:color="auto"/>
      </w:divBdr>
    </w:div>
    <w:div w:id="788356663">
      <w:bodyDiv w:val="1"/>
      <w:marLeft w:val="0"/>
      <w:marRight w:val="0"/>
      <w:marTop w:val="0"/>
      <w:marBottom w:val="0"/>
      <w:divBdr>
        <w:top w:val="none" w:sz="0" w:space="0" w:color="auto"/>
        <w:left w:val="none" w:sz="0" w:space="0" w:color="auto"/>
        <w:bottom w:val="none" w:sz="0" w:space="0" w:color="auto"/>
        <w:right w:val="none" w:sz="0" w:space="0" w:color="auto"/>
      </w:divBdr>
    </w:div>
    <w:div w:id="808939666">
      <w:bodyDiv w:val="1"/>
      <w:marLeft w:val="0"/>
      <w:marRight w:val="0"/>
      <w:marTop w:val="0"/>
      <w:marBottom w:val="0"/>
      <w:divBdr>
        <w:top w:val="none" w:sz="0" w:space="0" w:color="auto"/>
        <w:left w:val="none" w:sz="0" w:space="0" w:color="auto"/>
        <w:bottom w:val="none" w:sz="0" w:space="0" w:color="auto"/>
        <w:right w:val="none" w:sz="0" w:space="0" w:color="auto"/>
      </w:divBdr>
    </w:div>
    <w:div w:id="960113082">
      <w:bodyDiv w:val="1"/>
      <w:marLeft w:val="0"/>
      <w:marRight w:val="0"/>
      <w:marTop w:val="0"/>
      <w:marBottom w:val="0"/>
      <w:divBdr>
        <w:top w:val="none" w:sz="0" w:space="0" w:color="auto"/>
        <w:left w:val="none" w:sz="0" w:space="0" w:color="auto"/>
        <w:bottom w:val="none" w:sz="0" w:space="0" w:color="auto"/>
        <w:right w:val="none" w:sz="0" w:space="0" w:color="auto"/>
      </w:divBdr>
    </w:div>
    <w:div w:id="987781612">
      <w:bodyDiv w:val="1"/>
      <w:marLeft w:val="0"/>
      <w:marRight w:val="0"/>
      <w:marTop w:val="0"/>
      <w:marBottom w:val="0"/>
      <w:divBdr>
        <w:top w:val="none" w:sz="0" w:space="0" w:color="auto"/>
        <w:left w:val="none" w:sz="0" w:space="0" w:color="auto"/>
        <w:bottom w:val="none" w:sz="0" w:space="0" w:color="auto"/>
        <w:right w:val="none" w:sz="0" w:space="0" w:color="auto"/>
      </w:divBdr>
    </w:div>
    <w:div w:id="1014839170">
      <w:bodyDiv w:val="1"/>
      <w:marLeft w:val="0"/>
      <w:marRight w:val="0"/>
      <w:marTop w:val="0"/>
      <w:marBottom w:val="0"/>
      <w:divBdr>
        <w:top w:val="none" w:sz="0" w:space="0" w:color="auto"/>
        <w:left w:val="none" w:sz="0" w:space="0" w:color="auto"/>
        <w:bottom w:val="none" w:sz="0" w:space="0" w:color="auto"/>
        <w:right w:val="none" w:sz="0" w:space="0" w:color="auto"/>
      </w:divBdr>
    </w:div>
    <w:div w:id="1100877252">
      <w:bodyDiv w:val="1"/>
      <w:marLeft w:val="0"/>
      <w:marRight w:val="0"/>
      <w:marTop w:val="0"/>
      <w:marBottom w:val="0"/>
      <w:divBdr>
        <w:top w:val="none" w:sz="0" w:space="0" w:color="auto"/>
        <w:left w:val="none" w:sz="0" w:space="0" w:color="auto"/>
        <w:bottom w:val="none" w:sz="0" w:space="0" w:color="auto"/>
        <w:right w:val="none" w:sz="0" w:space="0" w:color="auto"/>
      </w:divBdr>
    </w:div>
    <w:div w:id="1284768511">
      <w:bodyDiv w:val="1"/>
      <w:marLeft w:val="0"/>
      <w:marRight w:val="0"/>
      <w:marTop w:val="0"/>
      <w:marBottom w:val="0"/>
      <w:divBdr>
        <w:top w:val="none" w:sz="0" w:space="0" w:color="auto"/>
        <w:left w:val="none" w:sz="0" w:space="0" w:color="auto"/>
        <w:bottom w:val="none" w:sz="0" w:space="0" w:color="auto"/>
        <w:right w:val="none" w:sz="0" w:space="0" w:color="auto"/>
      </w:divBdr>
    </w:div>
    <w:div w:id="1318457774">
      <w:bodyDiv w:val="1"/>
      <w:marLeft w:val="0"/>
      <w:marRight w:val="0"/>
      <w:marTop w:val="0"/>
      <w:marBottom w:val="0"/>
      <w:divBdr>
        <w:top w:val="none" w:sz="0" w:space="0" w:color="auto"/>
        <w:left w:val="none" w:sz="0" w:space="0" w:color="auto"/>
        <w:bottom w:val="none" w:sz="0" w:space="0" w:color="auto"/>
        <w:right w:val="none" w:sz="0" w:space="0" w:color="auto"/>
      </w:divBdr>
    </w:div>
    <w:div w:id="1322656605">
      <w:bodyDiv w:val="1"/>
      <w:marLeft w:val="0"/>
      <w:marRight w:val="0"/>
      <w:marTop w:val="0"/>
      <w:marBottom w:val="0"/>
      <w:divBdr>
        <w:top w:val="none" w:sz="0" w:space="0" w:color="auto"/>
        <w:left w:val="none" w:sz="0" w:space="0" w:color="auto"/>
        <w:bottom w:val="none" w:sz="0" w:space="0" w:color="auto"/>
        <w:right w:val="none" w:sz="0" w:space="0" w:color="auto"/>
      </w:divBdr>
    </w:div>
    <w:div w:id="1334718829">
      <w:bodyDiv w:val="1"/>
      <w:marLeft w:val="0"/>
      <w:marRight w:val="0"/>
      <w:marTop w:val="0"/>
      <w:marBottom w:val="0"/>
      <w:divBdr>
        <w:top w:val="none" w:sz="0" w:space="0" w:color="auto"/>
        <w:left w:val="none" w:sz="0" w:space="0" w:color="auto"/>
        <w:bottom w:val="none" w:sz="0" w:space="0" w:color="auto"/>
        <w:right w:val="none" w:sz="0" w:space="0" w:color="auto"/>
      </w:divBdr>
    </w:div>
    <w:div w:id="1410269818">
      <w:bodyDiv w:val="1"/>
      <w:marLeft w:val="0"/>
      <w:marRight w:val="0"/>
      <w:marTop w:val="0"/>
      <w:marBottom w:val="0"/>
      <w:divBdr>
        <w:top w:val="none" w:sz="0" w:space="0" w:color="auto"/>
        <w:left w:val="none" w:sz="0" w:space="0" w:color="auto"/>
        <w:bottom w:val="none" w:sz="0" w:space="0" w:color="auto"/>
        <w:right w:val="none" w:sz="0" w:space="0" w:color="auto"/>
      </w:divBdr>
    </w:div>
    <w:div w:id="1576014091">
      <w:bodyDiv w:val="1"/>
      <w:marLeft w:val="0"/>
      <w:marRight w:val="0"/>
      <w:marTop w:val="0"/>
      <w:marBottom w:val="0"/>
      <w:divBdr>
        <w:top w:val="none" w:sz="0" w:space="0" w:color="auto"/>
        <w:left w:val="none" w:sz="0" w:space="0" w:color="auto"/>
        <w:bottom w:val="none" w:sz="0" w:space="0" w:color="auto"/>
        <w:right w:val="none" w:sz="0" w:space="0" w:color="auto"/>
      </w:divBdr>
    </w:div>
    <w:div w:id="1616867140">
      <w:bodyDiv w:val="1"/>
      <w:marLeft w:val="0"/>
      <w:marRight w:val="0"/>
      <w:marTop w:val="0"/>
      <w:marBottom w:val="0"/>
      <w:divBdr>
        <w:top w:val="none" w:sz="0" w:space="0" w:color="auto"/>
        <w:left w:val="none" w:sz="0" w:space="0" w:color="auto"/>
        <w:bottom w:val="none" w:sz="0" w:space="0" w:color="auto"/>
        <w:right w:val="none" w:sz="0" w:space="0" w:color="auto"/>
      </w:divBdr>
    </w:div>
    <w:div w:id="1647392273">
      <w:bodyDiv w:val="1"/>
      <w:marLeft w:val="0"/>
      <w:marRight w:val="0"/>
      <w:marTop w:val="0"/>
      <w:marBottom w:val="0"/>
      <w:divBdr>
        <w:top w:val="none" w:sz="0" w:space="0" w:color="auto"/>
        <w:left w:val="none" w:sz="0" w:space="0" w:color="auto"/>
        <w:bottom w:val="none" w:sz="0" w:space="0" w:color="auto"/>
        <w:right w:val="none" w:sz="0" w:space="0" w:color="auto"/>
      </w:divBdr>
    </w:div>
    <w:div w:id="1647780209">
      <w:bodyDiv w:val="1"/>
      <w:marLeft w:val="0"/>
      <w:marRight w:val="0"/>
      <w:marTop w:val="0"/>
      <w:marBottom w:val="0"/>
      <w:divBdr>
        <w:top w:val="none" w:sz="0" w:space="0" w:color="auto"/>
        <w:left w:val="none" w:sz="0" w:space="0" w:color="auto"/>
        <w:bottom w:val="none" w:sz="0" w:space="0" w:color="auto"/>
        <w:right w:val="none" w:sz="0" w:space="0" w:color="auto"/>
      </w:divBdr>
    </w:div>
    <w:div w:id="1664816548">
      <w:bodyDiv w:val="1"/>
      <w:marLeft w:val="0"/>
      <w:marRight w:val="0"/>
      <w:marTop w:val="0"/>
      <w:marBottom w:val="0"/>
      <w:divBdr>
        <w:top w:val="none" w:sz="0" w:space="0" w:color="auto"/>
        <w:left w:val="none" w:sz="0" w:space="0" w:color="auto"/>
        <w:bottom w:val="none" w:sz="0" w:space="0" w:color="auto"/>
        <w:right w:val="none" w:sz="0" w:space="0" w:color="auto"/>
      </w:divBdr>
    </w:div>
    <w:div w:id="1812092288">
      <w:bodyDiv w:val="1"/>
      <w:marLeft w:val="0"/>
      <w:marRight w:val="0"/>
      <w:marTop w:val="0"/>
      <w:marBottom w:val="0"/>
      <w:divBdr>
        <w:top w:val="none" w:sz="0" w:space="0" w:color="auto"/>
        <w:left w:val="none" w:sz="0" w:space="0" w:color="auto"/>
        <w:bottom w:val="none" w:sz="0" w:space="0" w:color="auto"/>
        <w:right w:val="none" w:sz="0" w:space="0" w:color="auto"/>
      </w:divBdr>
    </w:div>
    <w:div w:id="2094545877">
      <w:bodyDiv w:val="1"/>
      <w:marLeft w:val="0"/>
      <w:marRight w:val="0"/>
      <w:marTop w:val="0"/>
      <w:marBottom w:val="0"/>
      <w:divBdr>
        <w:top w:val="none" w:sz="0" w:space="0" w:color="auto"/>
        <w:left w:val="none" w:sz="0" w:space="0" w:color="auto"/>
        <w:bottom w:val="none" w:sz="0" w:space="0" w:color="auto"/>
        <w:right w:val="none" w:sz="0" w:space="0" w:color="auto"/>
      </w:divBdr>
    </w:div>
    <w:div w:id="21383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statistical-data-sets/monthly-management-information-ofsteds-school-inspections-outco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fteducationdatalab.org.uk/2016/11/when-is-a-comprehensive-school-actually-a-secondary-moder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statistics-school-and-pupil-numb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social-mobility-and-opportunity-areas" TargetMode="External"/><Relationship Id="rId4" Type="http://schemas.openxmlformats.org/officeDocument/2006/relationships/settings" Target="settings.xml"/><Relationship Id="rId9" Type="http://schemas.openxmlformats.org/officeDocument/2006/relationships/hyperlink" Target="https://ofqual.blog.gov.uk/wp-content/uploads/sites/137/2018/01/Grading-2018-1.png" TargetMode="External"/><Relationship Id="rId14" Type="http://schemas.openxmlformats.org/officeDocument/2006/relationships/footer" Target="footer1.xml"/></Relationships>
</file>

<file path=word/theme/theme1.xml><?xml version="1.0" encoding="utf-8"?>
<a:theme xmlns:a="http://schemas.openxmlformats.org/drawingml/2006/main" name="FFT">
  <a:themeElements>
    <a:clrScheme name="FFT">
      <a:dk1>
        <a:srgbClr val="535353"/>
      </a:dk1>
      <a:lt1>
        <a:sysClr val="window" lastClr="FFFFFF"/>
      </a:lt1>
      <a:dk2>
        <a:srgbClr val="959595"/>
      </a:dk2>
      <a:lt2>
        <a:srgbClr val="F3F3F3"/>
      </a:lt2>
      <a:accent1>
        <a:srgbClr val="E6007E"/>
      </a:accent1>
      <a:accent2>
        <a:srgbClr val="2DAAE1"/>
      </a:accent2>
      <a:accent3>
        <a:srgbClr val="96C103"/>
      </a:accent3>
      <a:accent4>
        <a:srgbClr val="EFA2CC"/>
      </a:accent4>
      <a:accent5>
        <a:srgbClr val="B1DBED"/>
      </a:accent5>
      <a:accent6>
        <a:srgbClr val="D4E2AC"/>
      </a:accent6>
      <a:hlink>
        <a:srgbClr val="E6007E"/>
      </a:hlink>
      <a:folHlink>
        <a:srgbClr val="AC005E"/>
      </a:folHlink>
    </a:clrScheme>
    <a:fontScheme name="FFT">
      <a:majorFont>
        <a:latin typeface="Avenir LT Std 55 Roman"/>
        <a:ea typeface=""/>
        <a:cs typeface=""/>
      </a:majorFont>
      <a:minorFont>
        <a:latin typeface="Avenir LT Std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D6841-ED1C-4A90-B9CF-B1073830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Nye</dc:creator>
  <cp:keywords/>
  <dc:description/>
  <cp:lastModifiedBy>Catherine Souch</cp:lastModifiedBy>
  <cp:revision>3</cp:revision>
  <dcterms:created xsi:type="dcterms:W3CDTF">2020-08-17T09:28:00Z</dcterms:created>
  <dcterms:modified xsi:type="dcterms:W3CDTF">2020-08-18T07:46:00Z</dcterms:modified>
</cp:coreProperties>
</file>